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r>
        <w:rPr>
          <w:rFonts w:hint="eastAsia" w:ascii="方正小标宋简体" w:hAnsi="仿宋_GB2312" w:eastAsia="方正小标宋简体" w:cs="仿宋_GB2312"/>
          <w:color w:val="auto"/>
          <w:kern w:val="0"/>
          <w:sz w:val="44"/>
          <w:szCs w:val="44"/>
          <w:highlight w:val="none"/>
          <w:lang w:eastAsia="zh-CN"/>
        </w:rPr>
        <w:t>零售药店</w:t>
      </w:r>
      <w:r>
        <w:rPr>
          <w:rFonts w:hint="eastAsia" w:ascii="方正小标宋简体" w:hAnsi="仿宋_GB2312" w:eastAsia="方正小标宋简体" w:cs="仿宋_GB2312"/>
          <w:color w:val="auto"/>
          <w:kern w:val="0"/>
          <w:sz w:val="44"/>
          <w:szCs w:val="44"/>
          <w:highlight w:val="none"/>
        </w:rPr>
        <w:t>申请医疗保障定点指引</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（控制增量社区零售药店）</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（一）控制增量社区的零售药店：经营方式为零售、零售（连锁）的药品零售企业（不含批发）；</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（二）控制增量社区具体范围由医保部门定期更新，并在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kern w:val="0"/>
          <w:szCs w:val="32"/>
          <w:highlight w:val="none"/>
        </w:rPr>
        <w:t>取得《药品经营许可证》</w:t>
      </w:r>
      <w:r>
        <w:rPr>
          <w:rFonts w:hint="eastAsia" w:ascii="仿宋_GB2312" w:hAnsi="仿宋_GB2312" w:eastAsia="仿宋_GB2312" w:cs="仿宋_GB2312"/>
          <w:color w:val="auto"/>
          <w:kern w:val="0"/>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在注册地址正式经营至少3个月</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至少有1名取得执业药师资格证书或具有药学、临床药学、中药学专业技术资格证书的药师，且注册地在该零售药店所在地，药师须签订1年以上劳动合同且在合同期内</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至少有2名熟悉医疗保障法律法规和相关制度规定的专（兼）职医保管理人员负责管理医保费用，并签订1年以上劳动合同且在合同期内</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按药品经营质量管理规范要求，开展药品分类分区管理，并对所售药品设立明确的医保用药标识</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具有符合医保协议管理要求的医保药品管理制度、财务管理制度、医保人员管理制度、统计信息管理制度和医保费用结算制度</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药品耗材追溯码、进销存信息等信息至医保信息平台，为参保人员提供直接联网结算，建立医保药品等基础数据库的条件，按规定使用国家和省统一的医保编码</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（八）</w:t>
      </w:r>
      <w:r>
        <w:rPr>
          <w:rFonts w:hint="eastAsia" w:ascii="仿宋_GB2312" w:hAnsi="仿宋_GB2312" w:eastAsia="仿宋_GB2312" w:cs="仿宋_GB2312"/>
          <w:color w:val="auto"/>
          <w:sz w:val="32"/>
          <w:szCs w:val="32"/>
          <w:highlight w:val="none"/>
        </w:rPr>
        <w:t>符合法律、法规、规章和省级及以上医疗保障行政部门规定的其他条件</w:t>
      </w:r>
      <w:r>
        <w:rPr>
          <w:rFonts w:hint="eastAsia" w:ascii="仿宋_GB2312" w:hAnsi="仿宋_GB2312" w:eastAsia="仿宋_GB2312" w:cs="仿宋_GB2312"/>
          <w:color w:val="auto"/>
          <w:sz w:val="32"/>
          <w:szCs w:val="32"/>
          <w:highlight w:val="none"/>
          <w:lang w:eastAsia="zh-CN"/>
        </w:rPr>
        <w:t>；</w:t>
      </w:r>
    </w:p>
    <w:p>
      <w:pPr>
        <w:spacing w:line="560" w:lineRule="exact"/>
        <w:ind w:firstLine="632" w:firstLineChars="200"/>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（九）</w:t>
      </w:r>
      <w:r>
        <w:rPr>
          <w:rFonts w:hint="eastAsia" w:ascii="仿宋_GB2312" w:hAnsi="仿宋_GB2312" w:eastAsia="仿宋_GB2312" w:cs="仿宋_GB2312"/>
          <w:color w:val="auto"/>
          <w:kern w:val="0"/>
          <w:szCs w:val="32"/>
          <w:highlight w:val="none"/>
        </w:rPr>
        <w:t>有下列情形之一的，不予受理定点申请：</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未依法履行行政处罚责任的;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以弄虚作假等不正当手段申请定点，自发现之日起未满3年的;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因违法违规被解除医保协议未满3年或已满3年但未完全履行行政处罚法律责任的;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因严重违反医保协议约定而被解除医保协议未满1年或已满1年但未完全履行违约责任的;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法定代表人、企业负责人或实际控制人曾因严重违法违规导致原定点零售药店被解除医保协议，未满5年的;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法定代表人、企业负责人或实际控制人被列入失信人名单的;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法律、法规、规章规定的其他不予受理的情形。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零售药店</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w:t>
      </w:r>
      <w:r>
        <w:rPr>
          <w:rFonts w:hint="eastAsia" w:ascii="仿宋_GB2312" w:hAnsi="仿宋_GB2312" w:eastAsia="仿宋_GB2312" w:cs="仿宋_GB2312"/>
          <w:color w:val="auto"/>
          <w:kern w:val="0"/>
          <w:sz w:val="32"/>
          <w:szCs w:val="32"/>
          <w:highlight w:val="none"/>
          <w:lang w:val="en-US" w:eastAsia="zh-CN"/>
        </w:rPr>
        <w:t>机构</w:t>
      </w:r>
      <w:r>
        <w:rPr>
          <w:rFonts w:hint="default" w:ascii="仿宋_GB2312" w:hAnsi="仿宋_GB2312" w:eastAsia="仿宋_GB2312" w:cs="仿宋_GB2312"/>
          <w:color w:val="auto"/>
          <w:kern w:val="0"/>
          <w:sz w:val="32"/>
          <w:szCs w:val="32"/>
          <w:highlight w:val="none"/>
          <w:lang w:val="en-US" w:eastAsia="zh-CN"/>
        </w:rPr>
        <w:t>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取得国家机构代码的零售药店在市医保中心发布</w:t>
      </w:r>
      <w:r>
        <w:rPr>
          <w:rFonts w:hint="eastAsia" w:ascii="仿宋_GB2312" w:hAnsi="仿宋_GB2312" w:eastAsia="仿宋_GB2312" w:cs="仿宋_GB2312"/>
          <w:b w:val="0"/>
          <w:bCs w:val="0"/>
          <w:color w:val="auto"/>
          <w:sz w:val="32"/>
          <w:szCs w:val="32"/>
          <w:highlight w:val="none"/>
        </w:rPr>
        <w:t>新增医保定点医药机构受理计划</w:t>
      </w:r>
      <w:r>
        <w:rPr>
          <w:rFonts w:hint="eastAsia" w:ascii="仿宋_GB2312" w:hAnsi="仿宋_GB2312" w:eastAsia="仿宋_GB2312" w:cs="仿宋_GB2312"/>
          <w:b w:val="0"/>
          <w:bCs w:val="0"/>
          <w:color w:val="auto"/>
          <w:sz w:val="32"/>
          <w:szCs w:val="32"/>
          <w:highlight w:val="none"/>
          <w:lang w:eastAsia="zh-CN"/>
        </w:rPr>
        <w:t>后，在规定的时间范围内</w:t>
      </w:r>
      <w:r>
        <w:rPr>
          <w:rFonts w:hint="eastAsia" w:ascii="仿宋_GB2312" w:hAnsi="仿宋_GB2312" w:eastAsia="仿宋_GB2312" w:cs="仿宋_GB2312"/>
          <w:color w:val="auto"/>
          <w:kern w:val="0"/>
          <w:sz w:val="32"/>
          <w:szCs w:val="32"/>
          <w:highlight w:val="none"/>
        </w:rPr>
        <w:t>登录深圳市医疗保障局</w:t>
      </w:r>
      <w:r>
        <w:rPr>
          <w:rFonts w:hint="eastAsia" w:ascii="仿宋_GB2312" w:hAnsi="仿宋_GB2312" w:eastAsia="仿宋_GB2312" w:cs="仿宋_GB2312"/>
          <w:color w:val="auto"/>
          <w:kern w:val="0"/>
          <w:sz w:val="32"/>
          <w:szCs w:val="32"/>
          <w:highlight w:val="none"/>
          <w:lang w:eastAsia="zh-CN"/>
        </w:rPr>
        <w:t>官网</w:t>
      </w:r>
      <w:r>
        <w:rPr>
          <w:rFonts w:hint="eastAsia" w:ascii="仿宋_GB2312" w:hAnsi="仿宋_GB2312" w:eastAsia="仿宋_GB2312" w:cs="仿宋_GB2312"/>
          <w:color w:val="auto"/>
          <w:kern w:val="0"/>
          <w:sz w:val="32"/>
          <w:szCs w:val="32"/>
          <w:highlight w:val="none"/>
        </w:rPr>
        <w:t>，点击</w:t>
      </w:r>
      <w:r>
        <w:rPr>
          <w:rFonts w:hint="eastAsia" w:ascii="仿宋_GB2312" w:hAnsi="仿宋_GB2312" w:eastAsia="仿宋_GB2312" w:cs="仿宋_GB2312"/>
          <w:color w:val="auto"/>
          <w:kern w:val="0"/>
          <w:sz w:val="32"/>
          <w:szCs w:val="32"/>
          <w:highlight w:val="none"/>
          <w:lang w:eastAsia="zh-CN"/>
        </w:rPr>
        <w:t>“服务”栏目的</w:t>
      </w:r>
      <w:r>
        <w:rPr>
          <w:rFonts w:hint="eastAsia" w:ascii="仿宋_GB2312" w:hAnsi="仿宋_GB2312" w:eastAsia="仿宋_GB2312" w:cs="仿宋_GB2312"/>
          <w:color w:val="auto"/>
          <w:kern w:val="0"/>
          <w:sz w:val="32"/>
          <w:szCs w:val="32"/>
          <w:highlight w:val="none"/>
          <w:lang w:val="en-US" w:eastAsia="zh-CN"/>
        </w:rPr>
        <w:t>“单位网上服务系统”</w:t>
      </w:r>
      <w:r>
        <w:rPr>
          <w:rFonts w:hint="eastAsia" w:ascii="仿宋_GB2312" w:hAnsi="仿宋_GB2312" w:eastAsia="仿宋_GB2312" w:cs="仿宋_GB2312"/>
          <w:color w:val="auto"/>
          <w:kern w:val="0"/>
          <w:sz w:val="32"/>
          <w:szCs w:val="32"/>
          <w:highlight w:val="none"/>
        </w:rPr>
        <w:t>，用企业参保登记时发放的“单位编号”和“密码”登录广东政务服务网</w:t>
      </w:r>
      <w:r>
        <w:rPr>
          <w:rFonts w:hint="eastAsia" w:ascii="仿宋_GB2312" w:hAnsi="仿宋_GB2312" w:eastAsia="仿宋_GB2312" w:cs="仿宋_GB2312"/>
          <w:color w:val="auto"/>
          <w:kern w:val="0"/>
          <w:sz w:val="32"/>
          <w:szCs w:val="32"/>
          <w:highlight w:val="none"/>
          <w:lang w:eastAsia="zh-CN"/>
        </w:rPr>
        <w:t>（以下简称“申报系统”）</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进入</w:t>
      </w:r>
      <w:r>
        <w:rPr>
          <w:rFonts w:hint="eastAsia" w:ascii="仿宋_GB2312" w:hAnsi="仿宋_GB2312" w:eastAsia="仿宋_GB2312" w:cs="仿宋_GB2312"/>
          <w:color w:val="auto"/>
          <w:kern w:val="0"/>
          <w:sz w:val="32"/>
          <w:szCs w:val="32"/>
          <w:highlight w:val="none"/>
        </w:rPr>
        <w:t>“新增定点申请”模块进行</w:t>
      </w:r>
      <w:r>
        <w:rPr>
          <w:rFonts w:hint="eastAsia" w:ascii="仿宋_GB2312" w:hAnsi="仿宋_GB2312" w:eastAsia="仿宋_GB2312" w:cs="仿宋_GB2312"/>
          <w:color w:val="auto"/>
          <w:kern w:val="0"/>
          <w:sz w:val="32"/>
          <w:szCs w:val="32"/>
          <w:highlight w:val="none"/>
          <w:lang w:val="en-US" w:eastAsia="zh-CN"/>
        </w:rPr>
        <w:t>申请</w:t>
      </w:r>
      <w:r>
        <w:rPr>
          <w:rFonts w:hint="eastAsia" w:ascii="仿宋_GB2312" w:hAnsi="仿宋_GB2312" w:eastAsia="仿宋_GB2312" w:cs="仿宋_GB2312"/>
          <w:b w:val="0"/>
          <w:bCs w:val="0"/>
          <w:color w:val="auto"/>
          <w:kern w:val="0"/>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逾期视为自愿放弃当次申请</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零售药店按要求在申报系统中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rPr>
        <w:t>名称等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《深圳市新增定点零售药店申请表》；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b w:val="0"/>
          <w:bCs w:val="0"/>
          <w:color w:val="auto"/>
          <w:kern w:val="0"/>
          <w:sz w:val="32"/>
          <w:szCs w:val="32"/>
          <w:highlight w:val="none"/>
          <w:lang w:eastAsia="zh-CN"/>
        </w:rPr>
        <w:t>》、《营业执照》，</w:t>
      </w:r>
      <w:r>
        <w:rPr>
          <w:rFonts w:hint="eastAsia" w:ascii="仿宋_GB2312" w:hAnsi="仿宋_GB2312" w:eastAsia="仿宋_GB2312" w:cs="仿宋_GB2312"/>
          <w:color w:val="auto"/>
          <w:kern w:val="0"/>
          <w:szCs w:val="32"/>
          <w:highlight w:val="none"/>
        </w:rPr>
        <w:t>法定代表人、</w:t>
      </w:r>
      <w:r>
        <w:rPr>
          <w:rFonts w:hint="eastAsia" w:ascii="仿宋_GB2312" w:hAnsi="仿宋_GB2312" w:eastAsia="仿宋_GB2312" w:cs="仿宋_GB2312"/>
          <w:color w:val="auto"/>
          <w:kern w:val="0"/>
          <w:szCs w:val="32"/>
          <w:highlight w:val="none"/>
          <w:lang w:eastAsia="zh-CN"/>
        </w:rPr>
        <w:t>企业</w:t>
      </w:r>
      <w:r>
        <w:rPr>
          <w:rFonts w:hint="eastAsia" w:ascii="仿宋_GB2312" w:hAnsi="仿宋_GB2312" w:eastAsia="仿宋_GB2312" w:cs="仿宋_GB2312"/>
          <w:color w:val="auto"/>
          <w:kern w:val="0"/>
          <w:szCs w:val="32"/>
          <w:highlight w:val="none"/>
        </w:rPr>
        <w:t>负责人</w:t>
      </w:r>
      <w:r>
        <w:rPr>
          <w:rFonts w:hint="eastAsia" w:ascii="仿宋_GB2312" w:hAnsi="仿宋_GB2312" w:eastAsia="仿宋_GB2312" w:cs="仿宋_GB2312"/>
          <w:color w:val="auto"/>
          <w:kern w:val="0"/>
          <w:szCs w:val="32"/>
          <w:highlight w:val="none"/>
          <w:lang w:eastAsia="zh-CN"/>
        </w:rPr>
        <w:t>和</w:t>
      </w:r>
      <w:r>
        <w:rPr>
          <w:rFonts w:hint="eastAsia" w:ascii="仿宋_GB2312" w:hAnsi="仿宋_GB2312" w:eastAsia="仿宋_GB2312" w:cs="仿宋_GB2312"/>
          <w:color w:val="auto"/>
          <w:kern w:val="0"/>
          <w:szCs w:val="32"/>
          <w:highlight w:val="none"/>
        </w:rPr>
        <w:t>实际控制人身份证</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color w:val="auto"/>
          <w:kern w:val="0"/>
          <w:szCs w:val="32"/>
          <w:highlight w:val="none"/>
        </w:rPr>
        <w:t>全量药师证书等材料</w:t>
      </w:r>
      <w:r>
        <w:rPr>
          <w:rFonts w:hint="eastAsia" w:ascii="仿宋_GB2312" w:hAnsi="仿宋_GB2312" w:eastAsia="仿宋_GB2312" w:cs="仿宋_GB2312"/>
          <w:color w:val="auto"/>
          <w:kern w:val="0"/>
          <w:szCs w:val="32"/>
          <w:highlight w:val="none"/>
          <w:lang w:eastAsia="zh-CN"/>
        </w:rPr>
        <w:t>，包括</w:t>
      </w:r>
      <w:r>
        <w:rPr>
          <w:rFonts w:hint="eastAsia" w:ascii="仿宋_GB2312" w:hAnsi="仿宋_GB2312" w:eastAsia="仿宋_GB2312" w:cs="仿宋_GB2312"/>
          <w:color w:val="auto"/>
          <w:szCs w:val="32"/>
          <w:highlight w:val="none"/>
        </w:rPr>
        <w:t>执业药师资格证书、注册证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药学技术人员相关证书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4.</w:t>
      </w:r>
      <w:r>
        <w:rPr>
          <w:rFonts w:ascii="仿宋_GB2312" w:hAnsi="仿宋_GB2312" w:eastAsia="仿宋_GB2312" w:cs="仿宋_GB2312"/>
          <w:color w:val="auto"/>
          <w:kern w:val="0"/>
          <w:szCs w:val="32"/>
          <w:highlight w:val="none"/>
        </w:rPr>
        <w:t>专（兼）职医保管理人员的劳动合同</w:t>
      </w:r>
      <w:r>
        <w:rPr>
          <w:rFonts w:hint="eastAsia" w:ascii="仿宋_GB2312" w:hAnsi="仿宋_GB2312" w:eastAsia="仿宋_GB2312" w:cs="仿宋_GB2312"/>
          <w:color w:val="auto"/>
          <w:kern w:val="0"/>
          <w:szCs w:val="32"/>
          <w:highlight w:val="none"/>
        </w:rPr>
        <w:t>和职工医保参保证明</w:t>
      </w:r>
      <w:r>
        <w:rPr>
          <w:rFonts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5.</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Cs w:val="32"/>
          <w:highlight w:val="none"/>
        </w:rPr>
        <w:t>至少含医保药品管理制度、财务管理制度、医保人员管理制度、统计信息管理制度和医保费用结算制度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sz w:val="32"/>
          <w:szCs w:val="32"/>
          <w:highlight w:val="none"/>
          <w:lang w:val="en-US" w:eastAsia="zh-CN"/>
        </w:rPr>
        <w:t>正式启用信息系统开展服务之日距申请定点日期至少3个月的佐证材料；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sz w:val="32"/>
          <w:szCs w:val="32"/>
          <w:highlight w:val="none"/>
          <w:lang w:val="en-US" w:eastAsia="zh-CN"/>
        </w:rPr>
        <w:t>设立医保药品等基础数据库，使用统一的医保编码的佐证材料；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9.</w:t>
      </w:r>
      <w:r>
        <w:rPr>
          <w:rFonts w:hint="eastAsia" w:ascii="仿宋_GB2312" w:hAnsi="仿宋_GB2312" w:eastAsia="仿宋_GB2312" w:cs="仿宋_GB2312"/>
          <w:b w:val="0"/>
          <w:bCs w:val="0"/>
          <w:color w:val="auto"/>
          <w:kern w:val="0"/>
          <w:sz w:val="32"/>
          <w:szCs w:val="32"/>
          <w:highlight w:val="none"/>
          <w:lang w:eastAsia="zh-CN"/>
        </w:rPr>
        <w:t>《零售药店申请医保定点承诺书》。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 w:val="0"/>
          <w:bCs/>
          <w:color w:val="auto"/>
          <w:szCs w:val="32"/>
          <w:highlight w:val="none"/>
        </w:rPr>
        <w:t>辖区医保分局</w:t>
      </w:r>
      <w:r>
        <w:rPr>
          <w:rFonts w:hint="eastAsia" w:ascii="仿宋_GB2312" w:hAnsi="仿宋_GB2312" w:eastAsia="仿宋_GB2312" w:cs="仿宋_GB2312"/>
          <w:b w:val="0"/>
          <w:bCs/>
          <w:color w:val="auto"/>
          <w:szCs w:val="32"/>
          <w:highlight w:val="none"/>
          <w:lang w:eastAsia="zh-CN"/>
        </w:rPr>
        <w:t>在该批次</w:t>
      </w:r>
      <w:r>
        <w:rPr>
          <w:rFonts w:hint="eastAsia" w:ascii="仿宋_GB2312" w:hAnsi="仿宋_GB2312" w:eastAsia="仿宋_GB2312" w:cs="仿宋_GB2312"/>
          <w:b w:val="0"/>
          <w:bCs/>
          <w:color w:val="auto"/>
          <w:sz w:val="32"/>
          <w:szCs w:val="32"/>
          <w:highlight w:val="none"/>
        </w:rPr>
        <w:t>新增医保定点</w:t>
      </w:r>
      <w:r>
        <w:rPr>
          <w:rFonts w:hint="eastAsia" w:ascii="仿宋_GB2312" w:hAnsi="仿宋_GB2312" w:eastAsia="仿宋_GB2312" w:cs="仿宋_GB2312"/>
          <w:b w:val="0"/>
          <w:bCs/>
          <w:color w:val="auto"/>
          <w:sz w:val="32"/>
          <w:szCs w:val="32"/>
          <w:highlight w:val="none"/>
          <w:lang w:val="en-US" w:eastAsia="zh-CN"/>
        </w:rPr>
        <w:t>申请受理工作结束前，</w:t>
      </w:r>
      <w:r>
        <w:rPr>
          <w:rFonts w:hint="eastAsia" w:ascii="仿宋_GB2312" w:hAnsi="仿宋_GB2312" w:eastAsia="仿宋_GB2312" w:cs="仿宋_GB2312"/>
          <w:bCs/>
          <w:color w:val="auto"/>
          <w:szCs w:val="32"/>
          <w:highlight w:val="none"/>
          <w:lang w:eastAsia="zh-CN"/>
        </w:rPr>
        <w:t>对零售药店是否符合申请医保定点的范围和条件、是否存在不予受理的情形进行审核，并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零售药店可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1.零售药店</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零售药店提交的申请材料不齐全或存在更正内容的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color w:val="auto"/>
          <w:sz w:val="32"/>
          <w:szCs w:val="32"/>
          <w:highlight w:val="none"/>
        </w:rPr>
        <w:t>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Cs/>
          <w:color w:val="auto"/>
          <w:kern w:val="0"/>
          <w:szCs w:val="32"/>
          <w:highlight w:val="none"/>
          <w:lang w:val="en-US" w:eastAsia="zh-CN"/>
        </w:rPr>
        <w:t>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color w:val="auto"/>
          <w:sz w:val="32"/>
          <w:szCs w:val="32"/>
          <w:highlight w:val="none"/>
        </w:rPr>
        <w:t>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 w:val="0"/>
          <w:bCs w:val="0"/>
          <w:color w:val="auto"/>
          <w:kern w:val="0"/>
          <w:sz w:val="32"/>
          <w:szCs w:val="32"/>
          <w:highlight w:val="none"/>
          <w:lang w:val="en-US" w:eastAsia="zh-CN"/>
        </w:rPr>
        <w:t>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。考试人员为</w:t>
      </w:r>
      <w:r>
        <w:rPr>
          <w:rFonts w:hint="eastAsia" w:ascii="仿宋_GB2312" w:hAnsi="仿宋_GB2312" w:eastAsia="仿宋_GB2312" w:cs="仿宋_GB2312"/>
          <w:color w:val="auto"/>
          <w:kern w:val="0"/>
          <w:szCs w:val="32"/>
          <w:highlight w:val="none"/>
          <w:lang w:val="en-US" w:eastAsia="zh-CN"/>
        </w:rPr>
        <w:t>2名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零售药店医疗保障定点管理暂行办法》《深圳市医疗保障办法》等政策文件，及医保服务e站、医保信息化建设、医保基金监管等内容，并根据政策出台、业务开展等实际情况动态更新。</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零售药店可进入申报系统下载考试操作指引及相关政策文件。</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lang w:val="en-US" w:eastAsia="zh-CN"/>
        </w:rPr>
        <w:t>2名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辖区医保分局在该批次新增医保定点申请受理工作结束之日起</w:t>
      </w:r>
      <w:r>
        <w:rPr>
          <w:rFonts w:hint="eastAsia" w:ascii="仿宋_GB2312" w:hAnsi="仿宋_GB2312" w:eastAsia="仿宋_GB2312" w:cs="仿宋_GB2312"/>
          <w:b w:val="0"/>
          <w:bCs w:val="0"/>
          <w:color w:val="auto"/>
          <w:sz w:val="32"/>
          <w:szCs w:val="32"/>
          <w:highlight w:val="none"/>
          <w:lang w:val="en-US" w:eastAsia="zh-CN"/>
        </w:rPr>
        <w:t>1个月内组织2次集中考试，</w:t>
      </w:r>
      <w:r>
        <w:rPr>
          <w:rFonts w:hint="eastAsia" w:ascii="仿宋_GB2312" w:hAnsi="仿宋_GB2312" w:eastAsia="仿宋_GB2312" w:cs="仿宋_GB2312"/>
          <w:b w:val="0"/>
          <w:bCs w:val="0"/>
          <w:color w:val="auto"/>
          <w:sz w:val="32"/>
          <w:szCs w:val="32"/>
          <w:highlight w:val="none"/>
          <w:lang w:eastAsia="zh-CN"/>
        </w:rPr>
        <w:t>零售药店因自身原因未在分局通知的时间内参加集中考试的，</w:t>
      </w:r>
      <w:r>
        <w:rPr>
          <w:rFonts w:hint="eastAsia" w:ascii="仿宋_GB2312" w:hAnsi="仿宋_GB2312" w:eastAsia="仿宋_GB2312" w:cs="仿宋_GB2312"/>
          <w:b w:val="0"/>
          <w:bCs w:val="0"/>
          <w:color w:val="auto"/>
          <w:sz w:val="32"/>
          <w:szCs w:val="32"/>
          <w:highlight w:val="none"/>
          <w:lang w:val="en" w:eastAsia="zh-CN"/>
        </w:rPr>
        <w:t>视为自愿放弃当次申请</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color w:val="auto"/>
          <w:szCs w:val="32"/>
          <w:highlight w:val="none"/>
          <w:lang w:eastAsia="zh-CN"/>
        </w:rPr>
        <w:t>零售药店</w:t>
      </w:r>
      <w:r>
        <w:rPr>
          <w:rFonts w:hint="eastAsia" w:ascii="仿宋_GB2312" w:hAnsi="仿宋_GB2312" w:eastAsia="仿宋_GB2312" w:cs="仿宋_GB2312"/>
          <w:color w:val="auto"/>
          <w:sz w:val="32"/>
          <w:szCs w:val="32"/>
          <w:highlight w:val="none"/>
          <w:lang w:val="en-US" w:eastAsia="zh-CN"/>
        </w:rPr>
        <w:t>自</w:t>
      </w:r>
      <w:r>
        <w:rPr>
          <w:rFonts w:hint="eastAsia" w:ascii="仿宋_GB2312" w:hAnsi="仿宋_GB2312" w:eastAsia="仿宋_GB2312" w:cs="仿宋_GB2312"/>
          <w:color w:val="auto"/>
          <w:kern w:val="0"/>
          <w:sz w:val="32"/>
          <w:szCs w:val="32"/>
          <w:highlight w:val="none"/>
          <w:lang w:val="en-US" w:eastAsia="zh-CN"/>
        </w:rPr>
        <w:t>受理审核通过之日</w:t>
      </w:r>
      <w:r>
        <w:rPr>
          <w:rFonts w:hint="eastAsia" w:ascii="仿宋_GB2312" w:hAnsi="仿宋_GB2312" w:eastAsia="仿宋_GB2312" w:cs="仿宋_GB2312"/>
          <w:color w:val="auto"/>
          <w:sz w:val="32"/>
          <w:szCs w:val="32"/>
          <w:highlight w:val="none"/>
          <w:lang w:val="en-US" w:eastAsia="zh-CN"/>
        </w:rPr>
        <w:t>至</w:t>
      </w:r>
      <w:r>
        <w:rPr>
          <w:rFonts w:hint="eastAsia" w:ascii="仿宋_GB2312" w:hAnsi="仿宋_GB2312" w:eastAsia="仿宋_GB2312" w:cs="仿宋_GB2312"/>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w:t>
      </w:r>
      <w:bookmarkEnd w:id="0"/>
      <w:r>
        <w:rPr>
          <w:rFonts w:hint="eastAsia" w:ascii="黑体" w:hAnsi="黑体" w:eastAsia="黑体" w:cs="黑体"/>
          <w:b w:val="0"/>
          <w:bCs w:val="0"/>
          <w:color w:val="auto"/>
          <w:kern w:val="0"/>
          <w:sz w:val="32"/>
          <w:szCs w:val="32"/>
          <w:highlight w:val="none"/>
          <w:lang w:val="en-US" w:eastAsia="zh-CN"/>
        </w:rPr>
        <w:t>考察评估和现场复核</w:t>
      </w:r>
    </w:p>
    <w:p>
      <w:pPr>
        <w:pStyle w:val="2"/>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2"/>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考核合格的零售药店按照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》准备好材料原件及加盖公章的复印件及材料电子版（具体要求详见附件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2"/>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零售药店按辖区医保分局通知将配合评估材料上传至申报系统进行初核。材料齐全的，辖区医保分局在告知的评估时间范围内到零售药店进行现场核查，填写《深圳市新增定点零售药店评估表》，零售药店负责人签字盖章确认，并收取加盖公章的配合评估材料复印件；材料不全的，退回</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eastAsia="zh-CN"/>
        </w:rPr>
        <w:t>补齐相关材料</w:t>
      </w:r>
      <w:r>
        <w:rPr>
          <w:rFonts w:hint="eastAsia" w:ascii="仿宋_GB2312" w:hAnsi="仿宋_GB2312" w:eastAsia="仿宋_GB2312" w:cs="仿宋_GB2312"/>
          <w:color w:val="auto"/>
          <w:sz w:val="32"/>
          <w:szCs w:val="32"/>
          <w:highlight w:val="none"/>
          <w:lang w:val="en" w:eastAsia="zh-CN"/>
        </w:rPr>
        <w:t>。</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零售药店按辖区医保分局通知将配合评估材料上传至申报系统进行初核。材料齐全的，辖区医保分局在告知的评估时间范围内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kern w:val="0"/>
          <w:szCs w:val="32"/>
          <w:highlight w:val="none"/>
        </w:rPr>
        <w:t>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Cs w:val="32"/>
          <w:highlight w:val="none"/>
        </w:rPr>
        <w:t>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仿宋_GB2312" w:hAnsi="仿宋_GB2312" w:eastAsia="仿宋_GB2312" w:cs="仿宋_GB2312"/>
          <w:color w:val="auto"/>
          <w:sz w:val="32"/>
          <w:szCs w:val="32"/>
          <w:highlight w:val="none"/>
          <w:lang w:eastAsia="zh-CN"/>
        </w:rPr>
        <w:t>零售药店</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eastAsia="zh-CN"/>
        </w:rPr>
        <w:t>补齐相关材料</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2"/>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 w:val="32"/>
          <w:szCs w:val="32"/>
          <w:highlight w:val="none"/>
          <w:lang w:val="en-US" w:eastAsia="zh-CN" w:bidi="ar-SA"/>
        </w:rPr>
        <w:t>是否符合新增定点及相关行业主管部门要求进行现场核查，并将复核中发现的问题反馈辖区医保分局。</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w:t>
      </w:r>
      <w:r>
        <w:rPr>
          <w:rFonts w:hint="eastAsia" w:ascii="仿宋_GB2312" w:hAnsi="仿宋_GB2312" w:eastAsia="仿宋_GB2312" w:cs="仿宋_GB2312"/>
          <w:color w:val="auto"/>
          <w:kern w:val="0"/>
          <w:szCs w:val="32"/>
          <w:highlight w:val="none"/>
          <w:lang w:eastAsia="zh-CN"/>
        </w:rPr>
        <w:t>考察</w:t>
      </w:r>
      <w:r>
        <w:rPr>
          <w:rFonts w:hint="eastAsia" w:ascii="仿宋_GB2312" w:hAnsi="仿宋_GB2312" w:eastAsia="仿宋_GB2312" w:cs="仿宋_GB2312"/>
          <w:color w:val="auto"/>
          <w:kern w:val="0"/>
          <w:szCs w:val="32"/>
          <w:highlight w:val="none"/>
        </w:rPr>
        <w:t>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形成初步评估意见。初步评估合格的，辖区医保分局按流程组织开展综合评分</w:t>
      </w:r>
      <w:r>
        <w:rPr>
          <w:rFonts w:hint="eastAsia" w:ascii="仿宋_GB2312" w:hAnsi="仿宋_GB2312" w:eastAsia="仿宋_GB2312" w:cs="仿宋_GB2312"/>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jc w:val="both"/>
        <w:rPr>
          <w:rFonts w:hint="eastAsia" w:ascii="仿宋_GB2312" w:hAnsi="仿宋_GB2312" w:eastAsia="仿宋_GB2312" w:cs="仿宋_GB2312"/>
          <w:color w:val="auto"/>
          <w:kern w:val="0"/>
          <w:sz w:val="32"/>
          <w:szCs w:val="32"/>
          <w:highlight w:val="none"/>
          <w:lang w:val="en"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零售药店被退回补充配合评估材料的，应在该批次新增医保定点考察评估工作结束之日前补齐相关材料</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color w:val="auto"/>
          <w:kern w:val="0"/>
          <w:szCs w:val="32"/>
          <w:highlight w:val="none"/>
          <w:lang w:val="en"/>
        </w:rPr>
        <w:t>视为自愿放弃当次申请</w:t>
      </w:r>
      <w:r>
        <w:rPr>
          <w:rFonts w:hint="eastAsia" w:ascii="仿宋_GB2312" w:hAnsi="仿宋_GB2312" w:eastAsia="仿宋_GB2312" w:cs="仿宋_GB2312"/>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零售药店补充配合评估材料时间不计入评估时限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六、综合评分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（一）具体流程</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初步评估合格的零售药店及</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存量定点零售药店，按辖区医保分局通知将评分所需材料原件及加盖公章的复印件提交至分局，辖区医保分局对照《深圳市零售药店综合条件评估表》（附件</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）计算得出最终评分。评分结束后，</w:t>
      </w:r>
      <w:r>
        <w:rPr>
          <w:rFonts w:hint="eastAsia" w:ascii="仿宋_GB2312" w:hAnsi="仿宋_GB2312" w:eastAsia="仿宋_GB2312" w:cs="仿宋_GB2312"/>
          <w:color w:val="auto"/>
          <w:kern w:val="0"/>
          <w:szCs w:val="32"/>
          <w:highlight w:val="none"/>
          <w:lang w:eastAsia="zh-CN"/>
        </w:rPr>
        <w:t>同一社区内</w:t>
      </w:r>
      <w:r>
        <w:rPr>
          <w:rFonts w:hint="eastAsia" w:ascii="仿宋_GB2312" w:hAnsi="仿宋_GB2312" w:eastAsia="仿宋_GB2312" w:cs="仿宋_GB2312"/>
          <w:color w:val="auto"/>
          <w:sz w:val="32"/>
          <w:szCs w:val="32"/>
          <w:highlight w:val="none"/>
          <w:lang w:eastAsia="zh-CN"/>
        </w:rPr>
        <w:t>所有零售药店</w:t>
      </w:r>
      <w:r>
        <w:rPr>
          <w:rFonts w:hint="eastAsia" w:ascii="仿宋_GB2312" w:hAnsi="仿宋_GB2312" w:eastAsia="仿宋_GB2312" w:cs="仿宋_GB2312"/>
          <w:color w:val="auto"/>
          <w:kern w:val="0"/>
          <w:sz w:val="32"/>
          <w:szCs w:val="32"/>
          <w:highlight w:val="none"/>
          <w:lang w:val="en-US" w:eastAsia="zh-CN" w:bidi="ar-SA"/>
        </w:rPr>
        <w:t>按得分进行排序，由市医保中心统一对外公布</w:t>
      </w:r>
      <w:r>
        <w:rPr>
          <w:rFonts w:hint="eastAsia" w:ascii="仿宋_GB2312" w:hAnsi="仿宋_GB2312" w:eastAsia="仿宋_GB2312" w:cs="仿宋_GB2312"/>
          <w:color w:val="auto"/>
          <w:sz w:val="32"/>
          <w:szCs w:val="32"/>
          <w:highlight w:val="none"/>
          <w:lang w:eastAsia="zh-CN"/>
        </w:rPr>
        <w:t>评分分数、排名及评分结果</w:t>
      </w:r>
      <w:r>
        <w:rPr>
          <w:rFonts w:hint="eastAsia" w:ascii="仿宋_GB2312" w:hAnsi="仿宋_GB2312" w:eastAsia="仿宋_GB2312" w:cs="仿宋_GB2312"/>
          <w:color w:val="auto"/>
          <w:kern w:val="0"/>
          <w:szCs w:val="32"/>
          <w:highlight w:val="none"/>
          <w:lang w:val="en-US" w:eastAsia="zh-CN"/>
        </w:rPr>
        <w:t>。</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以社区内存量定点零售药店数量作为上限，择优确定合格对象。排序在社区存量定点零售药店数量之外的零售药店，无论为新申请零售药店或存量定点零售药店，均为综合评分不合格。如同一社区内无存量定点零售药店，新申请零售药店总评分需满足80分以上，方为合格。</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综合评分工作由市医保中心、辖区医保分局</w:t>
      </w:r>
      <w:r>
        <w:rPr>
          <w:rFonts w:hint="eastAsia" w:ascii="仿宋_GB2312" w:hAnsi="仿宋_GB2312" w:eastAsia="仿宋_GB2312" w:cs="仿宋_GB2312"/>
          <w:color w:val="auto"/>
          <w:sz w:val="32"/>
          <w:szCs w:val="32"/>
          <w:highlight w:val="none"/>
          <w:lang w:eastAsia="zh-CN"/>
        </w:rPr>
        <w:t>结合年度周期续签约前核查工作统一组织</w:t>
      </w:r>
      <w:r>
        <w:rPr>
          <w:rFonts w:hint="eastAsia" w:ascii="仿宋_GB2312" w:hAnsi="仿宋_GB2312" w:eastAsia="仿宋_GB2312" w:cs="仿宋_GB2312"/>
          <w:color w:val="auto"/>
          <w:kern w:val="0"/>
          <w:sz w:val="32"/>
          <w:szCs w:val="32"/>
          <w:highlight w:val="none"/>
          <w:lang w:val="en-US" w:eastAsia="zh-CN" w:bidi="ar-SA"/>
        </w:rPr>
        <w:t>开展，具体时间另行通知。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 w:val="32"/>
          <w:szCs w:val="32"/>
          <w:highlight w:val="none"/>
          <w:lang w:val="en-US" w:eastAsia="zh-CN"/>
        </w:rPr>
        <w:t>自辖区医保分局形成初步评估合格意见之日至市医保中心对外公布</w:t>
      </w:r>
      <w:r>
        <w:rPr>
          <w:rFonts w:hint="eastAsia" w:ascii="仿宋_GB2312" w:hAnsi="仿宋_GB2312" w:eastAsia="仿宋_GB2312" w:cs="仿宋_GB2312"/>
          <w:color w:val="auto"/>
          <w:szCs w:val="32"/>
          <w:highlight w:val="none"/>
          <w:lang w:eastAsia="zh-CN"/>
        </w:rPr>
        <w:t>评分合格结果之日前的时间不计入评估时限。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七、系统评估</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综合评分合格的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 w:val="32"/>
          <w:szCs w:val="32"/>
          <w:highlight w:val="none"/>
          <w:u w:val="none"/>
          <w:lang w:val="zh-CN" w:eastAsia="zh-CN" w:bidi="ar-SA"/>
        </w:rPr>
        <w:t>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八、确认评估结果</w:t>
      </w:r>
    </w:p>
    <w:bookmarkEnd w:id="1"/>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辖区医保分局综合医保管理人员考核、考察评估、现场复核、综合评分及系统评估情况，自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Cs/>
          <w:color w:val="auto"/>
          <w:sz w:val="32"/>
          <w:szCs w:val="32"/>
          <w:highlight w:val="none"/>
        </w:rPr>
        <w:t>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议。零售药店在下一批次新增医保定点医药机构受理计划发布</w:t>
      </w:r>
      <w:r>
        <w:rPr>
          <w:rFonts w:hint="eastAsia" w:ascii="仿宋_GB2312" w:hAnsi="仿宋_GB2312" w:eastAsia="仿宋_GB2312" w:cs="仿宋_GB2312"/>
          <w:bCs/>
          <w:color w:val="auto"/>
          <w:sz w:val="32"/>
          <w:szCs w:val="32"/>
          <w:highlight w:val="none"/>
          <w:lang w:val="en-US" w:eastAsia="zh-CN"/>
        </w:rPr>
        <w:t>后方能再次申请医保定点</w:t>
      </w:r>
      <w:r>
        <w:rPr>
          <w:rFonts w:hint="eastAsia" w:ascii="仿宋_GB2312" w:hAnsi="仿宋_GB2312" w:eastAsia="仿宋_GB2312" w:cs="仿宋_GB2312"/>
          <w:bCs/>
          <w:color w:val="auto"/>
          <w:sz w:val="32"/>
          <w:szCs w:val="32"/>
          <w:highlight w:val="none"/>
          <w:lang w:eastAsia="zh-CN"/>
        </w:rPr>
        <w:t>。</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九</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lang w:val="zh-CN"/>
        </w:rPr>
        <w:t>，</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lang w:val="zh-CN"/>
        </w:rPr>
        <w:t>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7</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零售药店签订协议后</w:t>
      </w:r>
      <w:r>
        <w:rPr>
          <w:rFonts w:hint="eastAsia" w:ascii="仿宋_GB2312" w:eastAsia="仿宋_GB2312"/>
          <w:color w:val="auto"/>
          <w:szCs w:val="32"/>
          <w:highlight w:val="none"/>
        </w:rPr>
        <w:t>及时完成维护信息、开通日审申诉账号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w:t>
      </w:r>
      <w:r>
        <w:rPr>
          <w:rFonts w:hint="eastAsia" w:ascii="仿宋_GB2312" w:eastAsia="仿宋_GB2312"/>
          <w:color w:val="auto"/>
          <w:szCs w:val="32"/>
          <w:highlight w:val="none"/>
        </w:rPr>
        <w:t>悬挂医保定点标识</w:t>
      </w:r>
      <w:r>
        <w:rPr>
          <w:rFonts w:hint="eastAsia" w:ascii="仿宋_GB2312" w:eastAsia="仿宋_GB2312"/>
          <w:color w:val="auto"/>
          <w:szCs w:val="32"/>
          <w:highlight w:val="none"/>
          <w:lang w:eastAsia="zh-CN"/>
        </w:rPr>
        <w:t>标牌</w:t>
      </w:r>
      <w:r>
        <w:rPr>
          <w:rFonts w:hint="eastAsia" w:ascii="仿宋_GB2312" w:hAnsi="仿宋_GB2312" w:eastAsia="仿宋_GB2312" w:cs="仿宋_GB2312"/>
          <w:color w:val="auto"/>
          <w:sz w:val="32"/>
          <w:szCs w:val="32"/>
          <w:highlight w:val="none"/>
          <w:lang w:val="en-US" w:eastAsia="zh-CN"/>
        </w:rPr>
        <w:t>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8</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w:t>
      </w:r>
      <w:r>
        <w:rPr>
          <w:rFonts w:hint="eastAsia" w:ascii="黑体" w:hAnsi="黑体" w:eastAsia="黑体" w:cs="黑体"/>
          <w:b w:val="0"/>
          <w:bCs w:val="0"/>
          <w:color w:val="auto"/>
          <w:kern w:val="2"/>
          <w:sz w:val="32"/>
          <w:szCs w:val="32"/>
          <w:highlight w:val="none"/>
          <w:lang w:val="en-US" w:eastAsia="zh-CN" w:bidi="ar-SA"/>
        </w:rPr>
        <w:t>动态管理机制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零售药店设立6个月政策辅导期。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w:t>
      </w:r>
      <w:r>
        <w:rPr>
          <w:rFonts w:hint="eastAsia" w:ascii="仿宋_GB2312" w:hAnsi="仿宋_GB2312" w:eastAsia="仿宋_GB2312" w:cs="仿宋_GB2312"/>
          <w:b w:val="0"/>
          <w:bCs w:val="0"/>
          <w:color w:val="auto"/>
          <w:kern w:val="0"/>
          <w:sz w:val="32"/>
          <w:szCs w:val="32"/>
          <w:highlight w:val="none"/>
          <w:lang w:val="en-US" w:eastAsia="zh-CN"/>
        </w:rPr>
        <w:t>综合评分</w:t>
      </w:r>
      <w:r>
        <w:rPr>
          <w:rFonts w:hint="eastAsia" w:ascii="仿宋_GB2312" w:hAnsi="仿宋_GB2312" w:eastAsia="仿宋_GB2312" w:cs="仿宋_GB2312"/>
          <w:b w:val="0"/>
          <w:bCs w:val="0"/>
          <w:color w:val="auto"/>
          <w:kern w:val="0"/>
          <w:szCs w:val="32"/>
          <w:highlight w:val="none"/>
          <w:lang w:val="en-US" w:eastAsia="zh-CN"/>
        </w:rPr>
        <w:t>和系统评估等过程中，零售药店存在以煽动群众、歪曲事实等方式影响审核评估的，将按照相关法律、法规规定处理；</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存在弄虚作假行为的，辖区医保分局按所在不同阶段分类处理：未签订协议的，分局出具《不予受理回执》或《评估不合格告知书》，3年内不再受理该</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十二、其他事项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kern w:val="0"/>
          <w:szCs w:val="32"/>
          <w:highlight w:val="none"/>
          <w:lang w:eastAsia="zh-CN"/>
        </w:rPr>
        <w:t>未在规定时限内</w:t>
      </w:r>
      <w:r>
        <w:rPr>
          <w:rFonts w:hint="eastAsia" w:ascii="仿宋_GB2312" w:hAnsi="仿宋_GB2312" w:eastAsia="仿宋_GB2312" w:cs="仿宋_GB2312"/>
          <w:color w:val="auto"/>
          <w:sz w:val="32"/>
          <w:szCs w:val="32"/>
          <w:highlight w:val="none"/>
          <w:lang w:val="en-US" w:eastAsia="zh-CN"/>
        </w:rPr>
        <w:t>完成申请医保定点各环节相关</w:t>
      </w:r>
      <w:r>
        <w:rPr>
          <w:rFonts w:hint="eastAsia" w:ascii="仿宋_GB2312" w:hAnsi="仿宋_GB2312" w:eastAsia="仿宋_GB2312" w:cs="仿宋_GB2312"/>
          <w:color w:val="auto"/>
          <w:kern w:val="0"/>
          <w:szCs w:val="32"/>
          <w:highlight w:val="none"/>
          <w:lang w:eastAsia="zh-CN"/>
        </w:rPr>
        <w:t>事项，或因自身原因主动申请撤回的，在下一批次</w:t>
      </w:r>
      <w:r>
        <w:rPr>
          <w:rFonts w:hint="eastAsia" w:ascii="仿宋_GB2312" w:hAnsi="仿宋_GB2312" w:eastAsia="仿宋_GB2312" w:cs="仿宋_GB2312"/>
          <w:color w:val="auto"/>
          <w:sz w:val="32"/>
          <w:szCs w:val="32"/>
          <w:highlight w:val="none"/>
          <w:lang w:eastAsia="zh-CN"/>
        </w:rPr>
        <w:t>新增医保</w:t>
      </w:r>
      <w:r>
        <w:rPr>
          <w:rFonts w:hint="eastAsia" w:ascii="仿宋_GB2312" w:hAnsi="仿宋_GB2312" w:eastAsia="仿宋_GB2312" w:cs="仿宋_GB2312"/>
          <w:color w:val="auto"/>
          <w:sz w:val="32"/>
          <w:szCs w:val="32"/>
          <w:highlight w:val="none"/>
        </w:rPr>
        <w:t>定点医药机构受理计划</w:t>
      </w:r>
      <w:r>
        <w:rPr>
          <w:rFonts w:hint="eastAsia" w:ascii="仿宋_GB2312" w:hAnsi="仿宋_GB2312" w:eastAsia="仿宋_GB2312" w:cs="仿宋_GB2312"/>
          <w:color w:val="auto"/>
          <w:sz w:val="32"/>
          <w:szCs w:val="32"/>
          <w:highlight w:val="none"/>
          <w:lang w:eastAsia="zh-CN"/>
        </w:rPr>
        <w:t>发布</w:t>
      </w:r>
      <w:r>
        <w:rPr>
          <w:rFonts w:hint="eastAsia" w:ascii="仿宋_GB2312" w:hAnsi="仿宋_GB2312" w:eastAsia="仿宋_GB2312" w:cs="仿宋_GB2312"/>
          <w:color w:val="auto"/>
          <w:kern w:val="0"/>
          <w:szCs w:val="32"/>
          <w:highlight w:val="none"/>
          <w:lang w:val="en-US" w:eastAsia="zh-CN"/>
        </w:rPr>
        <w:t>后方能再次申请医保定点。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（二）控制增量社区的</w:t>
      </w:r>
      <w:r>
        <w:rPr>
          <w:rFonts w:hint="eastAsia" w:ascii="仿宋_GB2312" w:hAnsi="仿宋_GB2312" w:eastAsia="仿宋_GB2312" w:cs="仿宋_GB2312"/>
          <w:color w:val="auto"/>
          <w:sz w:val="32"/>
          <w:szCs w:val="32"/>
          <w:highlight w:val="none"/>
          <w:lang w:eastAsia="zh-CN"/>
        </w:rPr>
        <w:t>定点零售药店有下列情形之一的，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零售药店拆分后新增的零售药店；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Cs w:val="32"/>
          <w:highlight w:val="none"/>
          <w:lang w:val="en-US" w:eastAsia="zh-CN"/>
        </w:rPr>
        <w:t>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bCs/>
          <w:color w:val="auto"/>
          <w:kern w:val="0"/>
          <w:szCs w:val="32"/>
          <w:highlight w:val="none"/>
          <w:lang w:val="en-US" w:eastAsia="zh-CN"/>
        </w:rPr>
        <w:t>2026年5月1日</w:t>
      </w:r>
      <w:r>
        <w:rPr>
          <w:rFonts w:hint="eastAsia" w:ascii="仿宋_GB2312" w:hAnsi="仿宋_GB2312" w:eastAsia="仿宋_GB2312" w:cs="仿宋_GB2312"/>
          <w:sz w:val="32"/>
          <w:szCs w:val="32"/>
          <w:highlight w:val="none"/>
        </w:rPr>
        <w:t>前已取得《药品经营许可证》的零售药店，设置过渡期至</w:t>
      </w:r>
      <w:r>
        <w:rPr>
          <w:rFonts w:hint="eastAsia" w:ascii="仿宋_GB2312" w:hAnsi="仿宋_GB2312" w:eastAsia="仿宋_GB2312" w:cs="仿宋_GB2312"/>
          <w:b/>
          <w:bCs/>
          <w:sz w:val="32"/>
          <w:szCs w:val="32"/>
          <w:highlight w:val="none"/>
        </w:rPr>
        <w:t>2026年7月31日</w:t>
      </w:r>
      <w:r>
        <w:rPr>
          <w:rFonts w:hint="eastAsia" w:ascii="仿宋_GB2312" w:hAnsi="仿宋_GB2312" w:eastAsia="仿宋_GB2312" w:cs="仿宋_GB2312"/>
          <w:sz w:val="32"/>
          <w:szCs w:val="32"/>
          <w:highlight w:val="none"/>
        </w:rPr>
        <w:t>。过渡期内，</w:t>
      </w:r>
      <w:r>
        <w:rPr>
          <w:rFonts w:hint="eastAsia" w:ascii="仿宋_GB2312" w:hAnsi="仿宋_GB2312" w:eastAsia="仿宋_GB2312" w:cs="仿宋_GB2312"/>
          <w:sz w:val="32"/>
          <w:szCs w:val="32"/>
          <w:highlight w:val="none"/>
          <w:lang w:eastAsia="zh-CN"/>
        </w:rPr>
        <w:t>本指引范围内零售药店</w:t>
      </w:r>
      <w:r>
        <w:rPr>
          <w:rFonts w:hint="eastAsia" w:ascii="仿宋_GB2312" w:hAnsi="仿宋_GB2312" w:eastAsia="仿宋_GB2312" w:cs="仿宋_GB2312"/>
          <w:sz w:val="32"/>
          <w:szCs w:val="32"/>
          <w:highlight w:val="none"/>
        </w:rPr>
        <w:t>符合医保定点管理相关规定要求的基本申请条件并履行相应程序的，不受医保资源配置限制，按程序纳入医保定点管理。</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val="en-US" w:eastAsia="zh-CN"/>
        </w:rPr>
        <w:t>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highlight w:val="none"/>
          <w:lang w:val="en-US" w:eastAsia="zh-CN"/>
        </w:rPr>
        <w:t>录入信息和申请材料具体要求</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default"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sz w:val="32"/>
          <w:szCs w:val="32"/>
          <w:highlight w:val="none"/>
          <w:lang w:eastAsia="zh-CN"/>
        </w:rPr>
        <w:t>深圳市零售药店综合条件评估表</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7.</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8.</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highlight w:val="none"/>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零售药店申请医保定点流程图</w:t>
      </w:r>
    </w:p>
    <w:p>
      <w:pPr>
        <w:spacing w:line="560" w:lineRule="exact"/>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0288" behindDoc="0" locked="0" layoutInCell="1" allowOverlap="1">
            <wp:simplePos x="0" y="0"/>
            <wp:positionH relativeFrom="column">
              <wp:posOffset>323850</wp:posOffset>
            </wp:positionH>
            <wp:positionV relativeFrom="paragraph">
              <wp:posOffset>411480</wp:posOffset>
            </wp:positionV>
            <wp:extent cx="4903470" cy="6559550"/>
            <wp:effectExtent l="0" t="0" r="3810" b="8890"/>
            <wp:wrapTopAndBottom/>
            <wp:docPr id="24" name="图片 24" descr="指引流程图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指引流程图2026"/>
                    <pic:cNvPicPr>
                      <a:picLocks noChangeAspect="1"/>
                    </pic:cNvPicPr>
                  </pic:nvPicPr>
                  <pic:blipFill>
                    <a:blip r:embed="rId6"/>
                    <a:stretch>
                      <a:fillRect/>
                    </a:stretch>
                  </pic:blipFill>
                  <pic:spPr>
                    <a:xfrm>
                      <a:off x="0" y="0"/>
                      <a:ext cx="4903470" cy="655955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2"/>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，选择角色类型并提交，角色类型选择“定点零售药店维护人员”角色。</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所有带*号的内容为必填项（如图1-1）。</w:t>
      </w:r>
    </w:p>
    <w:p>
      <w:pPr>
        <w:jc w:val="center"/>
        <w:rPr>
          <w:color w:val="auto"/>
          <w:highlight w:val="none"/>
        </w:rPr>
      </w:pPr>
      <w:r>
        <w:rPr>
          <w:color w:val="auto"/>
          <w:highlight w:val="none"/>
        </w:rPr>
        <w:drawing>
          <wp:inline distT="0" distB="0" distL="114300" distR="114300">
            <wp:extent cx="5271770" cy="2574290"/>
            <wp:effectExtent l="0" t="0" r="1270" b="12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5271770" cy="2574290"/>
                    </a:xfrm>
                    <a:prstGeom prst="rect">
                      <a:avLst/>
                    </a:prstGeom>
                    <a:noFill/>
                    <a:ln>
                      <a:noFill/>
                    </a:ln>
                  </pic:spPr>
                </pic:pic>
              </a:graphicData>
            </a:graphic>
          </wp:inline>
        </w:drawing>
      </w:r>
    </w:p>
    <w:p>
      <w:pPr>
        <w:jc w:val="center"/>
        <w:rPr>
          <w:rFonts w:hint="eastAsia" w:ascii="仿宋" w:hAnsi="仿宋" w:eastAsia="仿宋" w:cs="仿宋"/>
          <w:color w:val="auto"/>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1.授权前应确保维护的信息准确，在提交前发现填写信息有错误的，重新修改维护提交。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2.已经授权且被医保部门审核过的定点零售药店，不支持重复注册该定点零售药店的信息。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3.所属地区须按照定点零售药店实际所在的医保业务区划进行维护，方便后续管理及查询账号。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rPr>
      </w:pPr>
      <w:r>
        <w:rPr>
          <w:rFonts w:hint="eastAsia" w:ascii="楷体_GB2312" w:hAnsi="楷体_GB2312" w:eastAsia="楷体_GB2312" w:cs="楷体_GB2312"/>
          <w:b w:val="0"/>
          <w:bCs w:val="0"/>
          <w:color w:val="auto"/>
          <w:sz w:val="32"/>
          <w:szCs w:val="32"/>
          <w:highlight w:val="none"/>
          <w:lang w:val="en-US" w:eastAsia="zh-CN"/>
        </w:rPr>
        <w:t>（二）零售药店信息维护授权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注册信息完成后，登录动态维护系统点击【药店维护】-【药店信息维护】-【新增】进行药店信息维护授权（如图1-2）。</w:t>
      </w:r>
    </w:p>
    <w:p>
      <w:pPr>
        <w:jc w:val="center"/>
        <w:rPr>
          <w:color w:val="auto"/>
          <w:highlight w:val="none"/>
        </w:rPr>
      </w:pPr>
      <w:r>
        <w:rPr>
          <w:color w:val="auto"/>
          <w:highlight w:val="none"/>
        </w:rPr>
        <w:drawing>
          <wp:inline distT="0" distB="0" distL="114300" distR="114300">
            <wp:extent cx="5262880" cy="1005205"/>
            <wp:effectExtent l="0" t="0" r="1016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5262880" cy="10052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授权类型选择个人的，系统自动显示被授权人名字及被授权人证件号码；选择企业的，系统自动显示被授权企业及统一社会信用代码，系统未显示被授权企业及统一社会信用代码的需手动输入相关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授权类型选择个人的，不能授权多家药店的信息维护；选择企业的，可以授权多家药店的信息维护。连锁药店统一进行授权信息维护的，授权类型建议选择企业。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color w:val="auto"/>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，选择药店，在药店列表栏空白处输入授权维护的定点零售药店的名称或统一社会信用代码，点击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9"/>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查询（如图1-3）；选择需要授权维护的定点零售药店，点击【生成授权文书并下载】（如图1-4），系统会自动弹出生成授权文书页面，另存到本地电脑，授权文书需打印及加盖单位公章，并扫描生成PDF格式。</w:t>
      </w:r>
    </w:p>
    <w:p>
      <w:pPr>
        <w:jc w:val="center"/>
        <w:rPr>
          <w:color w:val="auto"/>
          <w:highlight w:val="none"/>
        </w:rPr>
      </w:pPr>
      <w:r>
        <w:rPr>
          <w:color w:val="auto"/>
          <w:highlight w:val="none"/>
        </w:rPr>
        <w:drawing>
          <wp:inline distT="0" distB="0" distL="114300" distR="114300">
            <wp:extent cx="5265420" cy="1374140"/>
            <wp:effectExtent l="0" t="0" r="7620"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5265420" cy="13741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jc w:val="center"/>
        <w:rPr>
          <w:color w:val="auto"/>
          <w:highlight w:val="none"/>
        </w:rPr>
      </w:pPr>
      <w:r>
        <w:rPr>
          <w:color w:val="auto"/>
          <w:highlight w:val="none"/>
        </w:rPr>
        <w:drawing>
          <wp:inline distT="0" distB="0" distL="114300" distR="114300">
            <wp:extent cx="5264785" cy="2762885"/>
            <wp:effectExtent l="0" t="0" r="8255" b="1079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1"/>
                    <a:stretch>
                      <a:fillRect/>
                    </a:stretch>
                  </pic:blipFill>
                  <pic:spPr>
                    <a:xfrm>
                      <a:off x="0" y="0"/>
                      <a:ext cx="5264785" cy="276288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-5），上传PDF格式授权文书并确认（如图1-6）。上传授权文书时，如遇到系统无法正常识别的，可点击“附件无法识别时，如何操作？”链接查看帮助。授权文书需保证页面授权文书编号及二维码清晰，否则系统无法正常识别。</w:t>
      </w:r>
    </w:p>
    <w:p>
      <w:pPr>
        <w:jc w:val="center"/>
        <w:rPr>
          <w:color w:val="auto"/>
          <w:highlight w:val="none"/>
        </w:rPr>
      </w:pPr>
      <w:r>
        <w:rPr>
          <w:color w:val="auto"/>
          <w:highlight w:val="none"/>
        </w:rPr>
        <w:drawing>
          <wp:inline distT="0" distB="0" distL="114300" distR="114300">
            <wp:extent cx="5264150" cy="454660"/>
            <wp:effectExtent l="0" t="0" r="8890" b="254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2"/>
                    <a:stretch>
                      <a:fillRect/>
                    </a:stretch>
                  </pic:blipFill>
                  <pic:spPr>
                    <a:xfrm>
                      <a:off x="0" y="0"/>
                      <a:ext cx="5264150" cy="4546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jc w:val="center"/>
        <w:rPr>
          <w:color w:val="auto"/>
          <w:highlight w:val="none"/>
        </w:rPr>
      </w:pPr>
      <w:r>
        <w:rPr>
          <w:color w:val="auto"/>
          <w:highlight w:val="none"/>
        </w:rPr>
        <w:drawing>
          <wp:inline distT="0" distB="0" distL="114300" distR="114300">
            <wp:extent cx="5266055" cy="2548255"/>
            <wp:effectExtent l="0" t="0" r="6985" b="1206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3"/>
                    <a:stretch>
                      <a:fillRect/>
                    </a:stretch>
                  </pic:blipFill>
                  <pic:spPr>
                    <a:xfrm>
                      <a:off x="0" y="0"/>
                      <a:ext cx="5266055" cy="254825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（1）在药店列表搜索框中输入统一社会信用代码、药店名称等信息，不能被系统默认检索到时，可以在页面左下角处点击【新增】自行添加。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药店信息如提示药店信息已存在，同时在授权页面搜索栏中也查询不到相应药店信息的，代表该药店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（4）新增药店信息时，系统会根据药店的统一社会信用代码进行重复性判断，应严格按照证照上的单位名称及证件号码进行填写。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授权】进行确认绑定（如图1-7）。输入旧版用户账号、密码确认绑定（如图1-8），绑定通过后用户授权列表页面会显示已绑定验证通过的账号角色（如图1-9）。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4"/>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5"/>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6"/>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如图1-10）</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17"/>
                    <a:stretch>
                      <a:fillRect/>
                    </a:stretch>
                  </pic:blipFill>
                  <pic:spPr>
                    <a:xfrm>
                      <a:off x="0" y="0"/>
                      <a:ext cx="5268595" cy="201739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1-10</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定点零售药店</w:t>
      </w:r>
      <w:r>
        <w:rPr>
          <w:rFonts w:hint="eastAsia" w:ascii="仿宋_GB2312" w:hAnsi="仿宋_GB2312" w:eastAsia="仿宋_GB2312" w:cs="仿宋_GB2312"/>
          <w:color w:val="auto"/>
          <w:sz w:val="32"/>
          <w:szCs w:val="32"/>
          <w:highlight w:val="none"/>
        </w:rPr>
        <w:t>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、进行零售药店信息维护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【药店维护】-【药店信息维护】-【详情】-【维护】，进入信息维护页面维护（如图1-11、图1-12、图1-13）。</w:t>
      </w:r>
    </w:p>
    <w:p>
      <w:pPr>
        <w:jc w:val="center"/>
        <w:rPr>
          <w:color w:val="auto"/>
          <w:highlight w:val="none"/>
        </w:rPr>
      </w:pPr>
      <w:r>
        <w:rPr>
          <w:color w:val="auto"/>
          <w:highlight w:val="none"/>
        </w:rPr>
        <w:drawing>
          <wp:inline distT="0" distB="0" distL="114300" distR="114300">
            <wp:extent cx="5262880" cy="885825"/>
            <wp:effectExtent l="0" t="0" r="10160" b="133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8"/>
                    <a:stretch>
                      <a:fillRect/>
                    </a:stretch>
                  </pic:blipFill>
                  <pic:spPr>
                    <a:xfrm>
                      <a:off x="0" y="0"/>
                      <a:ext cx="5262880" cy="88582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jc w:val="center"/>
        <w:rPr>
          <w:color w:val="auto"/>
          <w:highlight w:val="none"/>
        </w:rPr>
      </w:pPr>
      <w:r>
        <w:rPr>
          <w:color w:val="auto"/>
          <w:highlight w:val="none"/>
        </w:rPr>
        <w:drawing>
          <wp:inline distT="0" distB="0" distL="114300" distR="114300">
            <wp:extent cx="5273675" cy="2380615"/>
            <wp:effectExtent l="0" t="0" r="14605" b="1206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9"/>
                    <a:stretch>
                      <a:fillRect/>
                    </a:stretch>
                  </pic:blipFill>
                  <pic:spPr>
                    <a:xfrm>
                      <a:off x="0" y="0"/>
                      <a:ext cx="5273675" cy="23806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268595" cy="1372235"/>
            <wp:effectExtent l="0" t="0" r="4445" b="146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268595" cy="137223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图1-13</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营业执照</w:t>
      </w:r>
    </w:p>
    <w:tbl>
      <w:tblPr>
        <w:tblStyle w:val="13"/>
        <w:tblW w:w="0" w:type="auto"/>
        <w:jc w:val="center"/>
        <w:tblLayout w:type="fixed"/>
        <w:tblCellMar>
          <w:top w:w="0" w:type="dxa"/>
          <w:left w:w="0" w:type="dxa"/>
          <w:bottom w:w="0" w:type="dxa"/>
          <w:right w:w="0" w:type="dxa"/>
        </w:tblCellMar>
      </w:tblPr>
      <w:tblGrid>
        <w:gridCol w:w="2418"/>
        <w:gridCol w:w="5792"/>
      </w:tblGrid>
      <w:tr>
        <w:tblPrEx>
          <w:tblCellMar>
            <w:top w:w="0" w:type="dxa"/>
            <w:left w:w="0" w:type="dxa"/>
            <w:bottom w:w="0" w:type="dxa"/>
            <w:right w:w="0" w:type="dxa"/>
          </w:tblCellMar>
        </w:tblPrEx>
        <w:trPr>
          <w:trHeight w:val="51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7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零售药店名称</w:t>
            </w:r>
          </w:p>
        </w:tc>
        <w:tc>
          <w:tcPr>
            <w:tcW w:w="579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472" w:firstLineChars="200"/>
              <w:jc w:val="lef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维护内容与上传的</w:t>
            </w:r>
            <w:r>
              <w:rPr>
                <w:rFonts w:hint="eastAsia" w:ascii="仿宋_GB2312" w:hAnsi="仿宋_GB2312" w:eastAsia="仿宋_GB2312" w:cs="仿宋_GB2312"/>
                <w:color w:val="auto"/>
                <w:kern w:val="0"/>
                <w:sz w:val="24"/>
                <w:szCs w:val="24"/>
                <w:highlight w:val="none"/>
                <w:lang w:bidi="ar"/>
              </w:rPr>
              <w:t>《营业执照》</w:t>
            </w:r>
            <w:r>
              <w:rPr>
                <w:rFonts w:hint="eastAsia" w:ascii="仿宋_GB2312" w:hAnsi="仿宋_GB2312" w:eastAsia="仿宋_GB2312" w:cs="仿宋_GB2312"/>
                <w:color w:val="auto"/>
                <w:kern w:val="0"/>
                <w:sz w:val="24"/>
                <w:szCs w:val="24"/>
                <w:highlight w:val="none"/>
                <w:lang w:val="en-US" w:eastAsia="zh-CN" w:bidi="ar"/>
              </w:rPr>
              <w:t>正本信息一致</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注册资本</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住所</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59"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472" w:firstLineChars="200"/>
              <w:jc w:val="both"/>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《营业执照》为投资人或负责人的填写《药品经营许可证》上的法定代表人</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法定代表人证件类型</w:t>
            </w:r>
          </w:p>
        </w:tc>
        <w:tc>
          <w:tcPr>
            <w:tcW w:w="579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472" w:firstLineChars="200"/>
              <w:jc w:val="lef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填写法定代表人的有效身份证信息</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法定代表人证件号</w:t>
            </w:r>
          </w:p>
        </w:tc>
        <w:tc>
          <w:tcPr>
            <w:tcW w:w="579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电子文档</w:t>
            </w:r>
          </w:p>
        </w:tc>
        <w:tc>
          <w:tcPr>
            <w:tcW w:w="5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bidi="ar"/>
              </w:rPr>
              <w:t>上传</w:t>
            </w:r>
            <w:r>
              <w:rPr>
                <w:rFonts w:hint="eastAsia" w:ascii="仿宋_GB2312" w:hAnsi="仿宋_GB2312" w:eastAsia="仿宋_GB2312" w:cs="仿宋_GB2312"/>
                <w:color w:val="auto"/>
                <w:kern w:val="0"/>
                <w:sz w:val="24"/>
                <w:szCs w:val="24"/>
                <w:highlight w:val="none"/>
                <w:lang w:bidi="ar"/>
              </w:rPr>
              <w:t>《营业执照》</w:t>
            </w:r>
            <w:r>
              <w:rPr>
                <w:rFonts w:hint="eastAsia" w:ascii="仿宋_GB2312" w:hAnsi="仿宋_GB2312" w:eastAsia="仿宋_GB2312" w:cs="仿宋_GB2312"/>
                <w:color w:val="auto"/>
                <w:kern w:val="0"/>
                <w:sz w:val="24"/>
                <w:szCs w:val="24"/>
                <w:highlight w:val="none"/>
                <w:lang w:val="en-US" w:eastAsia="zh-CN" w:bidi="ar"/>
              </w:rPr>
              <w:t>正本</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rPr>
        <w:t>经营许可证</w:t>
      </w:r>
    </w:p>
    <w:tbl>
      <w:tblPr>
        <w:tblStyle w:val="13"/>
        <w:tblW w:w="0" w:type="auto"/>
        <w:jc w:val="center"/>
        <w:tblLayout w:type="fixed"/>
        <w:tblCellMar>
          <w:top w:w="0" w:type="dxa"/>
          <w:left w:w="0" w:type="dxa"/>
          <w:bottom w:w="0" w:type="dxa"/>
          <w:right w:w="0" w:type="dxa"/>
        </w:tblCellMar>
      </w:tblPr>
      <w:tblGrid>
        <w:gridCol w:w="2466"/>
        <w:gridCol w:w="5760"/>
      </w:tblGrid>
      <w:tr>
        <w:tblPrEx>
          <w:tblCellMar>
            <w:top w:w="0" w:type="dxa"/>
            <w:left w:w="0" w:type="dxa"/>
            <w:bottom w:w="0" w:type="dxa"/>
            <w:right w:w="0" w:type="dxa"/>
          </w:tblCellMar>
        </w:tblPrEx>
        <w:trPr>
          <w:trHeight w:val="510" w:hRule="atLeast"/>
          <w:jc w:val="center"/>
        </w:trPr>
        <w:tc>
          <w:tcPr>
            <w:tcW w:w="24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76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药品经营许可证号</w:t>
            </w:r>
          </w:p>
        </w:tc>
        <w:tc>
          <w:tcPr>
            <w:tcW w:w="5760"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w:t>
            </w:r>
            <w:r>
              <w:rPr>
                <w:rFonts w:hint="eastAsia" w:ascii="仿宋_GB2312" w:hAnsi="仿宋_GB2312" w:eastAsia="仿宋_GB2312" w:cs="仿宋_GB2312"/>
                <w:color w:val="auto"/>
                <w:sz w:val="24"/>
                <w:szCs w:val="24"/>
                <w:highlight w:val="none"/>
              </w:rPr>
              <w:t>《药品经营许可证》</w:t>
            </w:r>
            <w:r>
              <w:rPr>
                <w:rFonts w:hint="eastAsia" w:ascii="仿宋_GB2312" w:hAnsi="仿宋_GB2312" w:eastAsia="仿宋_GB2312" w:cs="仿宋_GB2312"/>
                <w:color w:val="auto"/>
                <w:sz w:val="24"/>
                <w:szCs w:val="24"/>
                <w:highlight w:val="none"/>
                <w:lang w:val="en-US" w:eastAsia="zh-CN"/>
              </w:rPr>
              <w:t>正本信息一致</w:t>
            </w: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经营方式</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发证日期</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有效期至</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经营范围</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企业负责人</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99"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企业负责人联系方式</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填写零售药店企业负责人的手机号码或固定电话</w:t>
            </w:r>
          </w:p>
        </w:tc>
      </w:tr>
      <w:tr>
        <w:tblPrEx>
          <w:tblCellMar>
            <w:top w:w="0" w:type="dxa"/>
            <w:left w:w="0" w:type="dxa"/>
            <w:bottom w:w="0" w:type="dxa"/>
            <w:right w:w="0" w:type="dxa"/>
          </w:tblCellMar>
        </w:tblPrEx>
        <w:trPr>
          <w:trHeight w:val="52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经营状态</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零售药店的经营状态</w:t>
            </w:r>
          </w:p>
        </w:tc>
      </w:tr>
      <w:tr>
        <w:tblPrEx>
          <w:tblCellMar>
            <w:top w:w="0" w:type="dxa"/>
            <w:left w:w="0" w:type="dxa"/>
            <w:bottom w:w="0" w:type="dxa"/>
            <w:right w:w="0" w:type="dxa"/>
          </w:tblCellMar>
        </w:tblPrEx>
        <w:trPr>
          <w:trHeight w:val="774"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上传附件</w:t>
            </w:r>
            <w:r>
              <w:rPr>
                <w:rFonts w:hint="eastAsia" w:ascii="仿宋_GB2312" w:hAnsi="仿宋_GB2312" w:eastAsia="仿宋_GB2312" w:cs="仿宋_GB2312"/>
                <w:color w:val="auto"/>
                <w:kern w:val="0"/>
                <w:sz w:val="24"/>
                <w:szCs w:val="24"/>
                <w:highlight w:val="none"/>
                <w:lang w:bidi="ar"/>
              </w:rPr>
              <w:t>《药品经营许可证》</w:t>
            </w:r>
            <w:r>
              <w:rPr>
                <w:rFonts w:hint="eastAsia" w:ascii="仿宋_GB2312" w:hAnsi="仿宋_GB2312" w:eastAsia="仿宋_GB2312" w:cs="仿宋_GB2312"/>
                <w:color w:val="auto"/>
                <w:kern w:val="0"/>
                <w:sz w:val="24"/>
                <w:szCs w:val="24"/>
                <w:highlight w:val="none"/>
                <w:lang w:val="en-US" w:eastAsia="zh-CN" w:bidi="ar"/>
              </w:rPr>
              <w:t>正本，副本</w:t>
            </w:r>
            <w:r>
              <w:rPr>
                <w:rFonts w:hint="eastAsia" w:ascii="仿宋_GB2312" w:hAnsi="仿宋_GB2312" w:eastAsia="仿宋_GB2312" w:cs="仿宋_GB2312"/>
                <w:color w:val="auto"/>
                <w:sz w:val="24"/>
                <w:szCs w:val="24"/>
                <w:highlight w:val="none"/>
                <w:lang w:val="en-US" w:eastAsia="zh-CN"/>
              </w:rPr>
              <w:t>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其他</w:t>
      </w:r>
    </w:p>
    <w:tbl>
      <w:tblPr>
        <w:tblStyle w:val="13"/>
        <w:tblW w:w="0" w:type="auto"/>
        <w:jc w:val="center"/>
        <w:tblLayout w:type="fixed"/>
        <w:tblCellMar>
          <w:top w:w="0" w:type="dxa"/>
          <w:left w:w="0" w:type="dxa"/>
          <w:bottom w:w="0" w:type="dxa"/>
          <w:right w:w="0" w:type="dxa"/>
        </w:tblCellMar>
      </w:tblPr>
      <w:tblGrid>
        <w:gridCol w:w="2496"/>
        <w:gridCol w:w="5747"/>
      </w:tblGrid>
      <w:tr>
        <w:tblPrEx>
          <w:tblCellMar>
            <w:top w:w="0" w:type="dxa"/>
            <w:left w:w="0" w:type="dxa"/>
            <w:bottom w:w="0" w:type="dxa"/>
            <w:right w:w="0" w:type="dxa"/>
          </w:tblCellMar>
        </w:tblPrEx>
        <w:trPr>
          <w:trHeight w:val="51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74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5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根据零售药店业务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6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详细地址</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根据上传的《药品经营许可证》的地址定位</w:t>
            </w:r>
          </w:p>
        </w:tc>
      </w:tr>
      <w:tr>
        <w:tblPrEx>
          <w:tblCellMar>
            <w:top w:w="0" w:type="dxa"/>
            <w:left w:w="0" w:type="dxa"/>
            <w:bottom w:w="0" w:type="dxa"/>
            <w:right w:w="0" w:type="dxa"/>
          </w:tblCellMar>
        </w:tblPrEx>
        <w:trPr>
          <w:trHeight w:val="799"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指零售药店是否支持通过医保电子凭证进行账户查询和购药支付等工作</w:t>
            </w: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7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填写该零售药店</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该零售药店的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药店</w:t>
            </w:r>
            <w:r>
              <w:rPr>
                <w:rFonts w:hint="eastAsia" w:ascii="仿宋_GB2312" w:hAnsi="仿宋_GB2312" w:eastAsia="仿宋_GB2312" w:cs="仿宋_GB2312"/>
                <w:color w:val="auto"/>
                <w:sz w:val="24"/>
                <w:szCs w:val="24"/>
                <w:highlight w:val="none"/>
              </w:rPr>
              <w:t>可以填</w:t>
            </w:r>
            <w:r>
              <w:rPr>
                <w:rFonts w:hint="eastAsia" w:ascii="仿宋_GB2312" w:hAnsi="仿宋_GB2312" w:eastAsia="仿宋_GB2312" w:cs="仿宋_GB2312"/>
                <w:color w:val="auto"/>
                <w:sz w:val="24"/>
                <w:szCs w:val="24"/>
                <w:highlight w:val="none"/>
                <w:lang w:val="en-US" w:eastAsia="zh-CN"/>
              </w:rPr>
              <w:t>所属机构基本存款账户信息</w:t>
            </w: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747" w:type="dxa"/>
            <w:vMerge w:val="continue"/>
            <w:tcBorders>
              <w:left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74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医保联系人</w:t>
            </w:r>
          </w:p>
        </w:tc>
        <w:tc>
          <w:tcPr>
            <w:tcW w:w="57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根据该零售药店的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4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医保联系人电话</w:t>
            </w:r>
          </w:p>
        </w:tc>
        <w:tc>
          <w:tcPr>
            <w:tcW w:w="5747"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邮箱</w:t>
            </w:r>
          </w:p>
        </w:tc>
        <w:tc>
          <w:tcPr>
            <w:tcW w:w="5747"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rPr>
        <w:t>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信息提交后，医保部门审核人员进行审核，审核通过的系统自动识别统一社会信用代码进行唯一性赋码。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零售药店维护状态为已入库的，视为已取得国家机构代码。原则上一证一码，不能重复申请多个机构代码！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一、新增医保药师信息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点击【药师维护】-【药师信息维护】-【新增】（如图2-1）跳转到信息维护页面（如图2-2），先选择相关定点零售药店名称后再填写其他信息。</w:t>
      </w:r>
    </w:p>
    <w:p>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682615" cy="1691005"/>
            <wp:effectExtent l="0" t="0" r="1905" b="635"/>
            <wp:docPr id="19" name="图片 11" descr="药店 药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descr="药店 药师"/>
                    <pic:cNvPicPr>
                      <a:picLocks noChangeAspect="1"/>
                    </pic:cNvPicPr>
                  </pic:nvPicPr>
                  <pic:blipFill>
                    <a:blip r:embed="rId21"/>
                    <a:stretch>
                      <a:fillRect/>
                    </a:stretch>
                  </pic:blipFill>
                  <pic:spPr>
                    <a:xfrm>
                      <a:off x="0" y="0"/>
                      <a:ext cx="5682615" cy="1691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color w:val="auto"/>
          <w:highlight w:val="none"/>
        </w:rPr>
      </w:pPr>
      <w:r>
        <w:rPr>
          <w:color w:val="auto"/>
          <w:highlight w:val="none"/>
        </w:rPr>
        <w:drawing>
          <wp:inline distT="0" distB="0" distL="114300" distR="114300">
            <wp:extent cx="5273675" cy="2548890"/>
            <wp:effectExtent l="0" t="0" r="14605" b="1143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2"/>
                    <a:stretch>
                      <a:fillRect/>
                    </a:stretch>
                  </pic:blipFill>
                  <pic:spPr>
                    <a:xfrm>
                      <a:off x="0" y="0"/>
                      <a:ext cx="5273675" cy="254889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rPr>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r>
        <w:rPr>
          <w:rFonts w:hint="eastAsia" w:ascii="仿宋_GB2312" w:hAnsi="仿宋_GB2312" w:eastAsia="仿宋_GB2312" w:cs="仿宋_GB2312"/>
          <w:color w:val="auto"/>
          <w:sz w:val="32"/>
          <w:szCs w:val="32"/>
          <w:highlight w:val="none"/>
          <w:lang w:val="en-US" w:eastAsia="zh-CN"/>
        </w:rPr>
        <w:t>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大批量维护医保药师信息时可批量导入，【药师维护】-【药师信息维护】-【导入】-【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color w:val="auto"/>
          <w:sz w:val="32"/>
          <w:szCs w:val="32"/>
          <w:highlight w:val="none"/>
          <w:lang w:val="en-US" w:eastAsia="zh-CN"/>
        </w:rPr>
        <w:t>注意事项</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w:t>
      </w:r>
      <w:r>
        <w:rPr>
          <w:rFonts w:hint="eastAsia" w:ascii="仿宋_GB2312" w:hAnsi="仿宋_GB2312" w:eastAsia="仿宋_GB2312" w:cs="仿宋_GB2312"/>
          <w:color w:val="auto"/>
          <w:sz w:val="32"/>
          <w:szCs w:val="32"/>
          <w:highlight w:val="none"/>
          <w:lang w:val="en-US" w:eastAsia="zh-CN"/>
        </w:rPr>
        <w:t>零售药店名称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p>
    <w:p>
      <w:pPr>
        <w:jc w:val="center"/>
        <w:rPr>
          <w:color w:val="auto"/>
          <w:highlight w:val="none"/>
        </w:rPr>
      </w:pPr>
      <w:r>
        <w:rPr>
          <w:color w:val="auto"/>
          <w:highlight w:val="none"/>
        </w:rPr>
        <w:drawing>
          <wp:inline distT="0" distB="0" distL="114300" distR="114300">
            <wp:extent cx="3509645" cy="1677670"/>
            <wp:effectExtent l="0" t="0" r="10795" b="1397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3"/>
                    <a:stretch>
                      <a:fillRect/>
                    </a:stretch>
                  </pic:blipFill>
                  <pic:spPr>
                    <a:xfrm>
                      <a:off x="0" y="0"/>
                      <a:ext cx="3509645" cy="167767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jc w:val="center"/>
        <w:rPr>
          <w:color w:val="auto"/>
          <w:highlight w:val="none"/>
        </w:rPr>
      </w:pPr>
      <w:r>
        <w:rPr>
          <w:color w:val="auto"/>
          <w:highlight w:val="none"/>
        </w:rPr>
        <w:drawing>
          <wp:inline distT="0" distB="0" distL="114300" distR="114300">
            <wp:extent cx="5262880" cy="1111250"/>
            <wp:effectExtent l="0" t="0" r="10160" b="127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24"/>
                    <a:stretch>
                      <a:fillRect/>
                    </a:stretch>
                  </pic:blipFill>
                  <pic:spPr>
                    <a:xfrm>
                      <a:off x="0" y="0"/>
                      <a:ext cx="5262880" cy="111125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大批量维护医保药师资料附件时，点击【药师维护】-【药师信息维护】-【附件上传】，需严格按照注意事项的内容规范操作（如图2-5）</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附件批量上传的前提是必须先维护好医保药师的信息，再通过再通过上传PDF文件（命名格式为证件类型代码+_+证件号码，例：1_110101199003077475.pdf）进行自动匹配完成附件批量上传操作。</w:t>
      </w:r>
    </w:p>
    <w:p>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4915535" cy="3024505"/>
            <wp:effectExtent l="0" t="0" r="6985" b="8255"/>
            <wp:docPr id="12" name="图片 15" descr="药师信息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药师信息维护"/>
                    <pic:cNvPicPr>
                      <a:picLocks noChangeAspect="1"/>
                    </pic:cNvPicPr>
                  </pic:nvPicPr>
                  <pic:blipFill>
                    <a:blip r:embed="rId25"/>
                    <a:stretch>
                      <a:fillRect/>
                    </a:stretch>
                  </pic:blipFill>
                  <pic:spPr>
                    <a:xfrm>
                      <a:off x="0" y="0"/>
                      <a:ext cx="4915535" cy="30245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医保药师信息提交前，需认真核实信息的准确性及资料的完整性，提交后不能重复维护。医保药师信息提交时可以在信息维护页面单个提交，也也可以勾选列表信息数据，点击【提交】进行批量提交。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医保药师信息提交后，需等待后台人员审核，审核通过后系统自动根据医保药师的证件类型+证件号进行唯一性赋码，相同身份信息的人员在不同执业药店的赋码相同。</w:t>
      </w: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零售药店录入信息要求</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零售药店申报时自行填入，必须与国家医保信息业务编码标准数据库动态维护平台申请的一致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填写有误的业务作废，更正后重新申请。同一零售药店，解除协议后又重新申请医保定点的，继续使用原国家机构代码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零售药店名称</w:t>
      </w:r>
      <w:r>
        <w:rPr>
          <w:rFonts w:hint="eastAsia" w:ascii="仿宋_GB2312" w:hAnsi="仿宋_GB2312" w:eastAsia="仿宋_GB2312" w:cs="仿宋_GB2312"/>
          <w:b/>
          <w:bCs/>
          <w:color w:val="auto"/>
          <w:kern w:val="0"/>
          <w:szCs w:val="32"/>
          <w:highlight w:val="none"/>
          <w:lang w:eastAsia="zh-CN"/>
        </w:rPr>
        <w:t>、零售药店别名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及</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名称</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一致</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一般为</w:t>
      </w:r>
      <w:r>
        <w:rPr>
          <w:rFonts w:hint="eastAsia" w:ascii="仿宋_GB2312" w:hAnsi="仿宋_GB2312" w:eastAsia="仿宋_GB2312" w:cs="仿宋_GB2312"/>
          <w:color w:val="auto"/>
          <w:kern w:val="0"/>
          <w:szCs w:val="32"/>
          <w:highlight w:val="none"/>
          <w:lang w:eastAsia="zh-CN"/>
        </w:rPr>
        <w:t>非公立。</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color w:val="auto"/>
          <w:kern w:val="0"/>
          <w:szCs w:val="32"/>
          <w:highlight w:val="none"/>
        </w:rPr>
        <w:t>一般为营利性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的“类型”</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w:t>
      </w:r>
      <w:r>
        <w:rPr>
          <w:rFonts w:hint="eastAsia" w:ascii="仿宋_GB2312" w:hAnsi="仿宋_GB2312" w:eastAsia="仿宋_GB2312" w:cs="仿宋_GB2312"/>
          <w:color w:val="auto"/>
          <w:kern w:val="0"/>
          <w:szCs w:val="32"/>
          <w:highlight w:val="none"/>
        </w:rPr>
        <w:t>一般为深圳市市场监督管理局</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w:t>
      </w:r>
      <w:r>
        <w:rPr>
          <w:rFonts w:hint="eastAsia" w:ascii="仿宋_GB2312" w:hAnsi="仿宋_GB2312" w:eastAsia="仿宋_GB2312" w:cs="仿宋_GB2312"/>
          <w:b/>
          <w:bCs/>
          <w:color w:val="auto"/>
          <w:kern w:val="0"/>
          <w:szCs w:val="32"/>
          <w:highlight w:val="none"/>
          <w:lang w:eastAsia="zh-CN"/>
        </w:rPr>
        <w:t>医药公司编码、所属医药公司名称</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零售药店为本市定点零售药店的分支机构的，所属机构为其总部。其余情况非必填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“统一社会信用代码”一致。</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企业</w:t>
      </w:r>
      <w:r>
        <w:rPr>
          <w:rFonts w:hint="eastAsia" w:ascii="仿宋_GB2312" w:hAnsi="仿宋_GB2312" w:eastAsia="仿宋_GB2312" w:cs="仿宋_GB2312"/>
          <w:b/>
          <w:bCs/>
          <w:color w:val="auto"/>
          <w:kern w:val="0"/>
          <w:szCs w:val="32"/>
          <w:highlight w:val="none"/>
        </w:rPr>
        <w:t>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w:t>
      </w:r>
      <w:r>
        <w:rPr>
          <w:rFonts w:hint="eastAsia" w:ascii="仿宋_GB2312" w:hAnsi="仿宋_GB2312" w:eastAsia="仿宋_GB2312" w:cs="仿宋_GB2312"/>
          <w:b w:val="0"/>
          <w:bCs w:val="0"/>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企业负责人必须与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企业</w:t>
      </w:r>
      <w:r>
        <w:rPr>
          <w:rFonts w:hint="eastAsia" w:ascii="仿宋_GB2312" w:hAnsi="仿宋_GB2312" w:eastAsia="仿宋_GB2312" w:cs="仿宋_GB2312"/>
          <w:b/>
          <w:bCs/>
          <w:color w:val="auto"/>
          <w:kern w:val="0"/>
          <w:szCs w:val="32"/>
          <w:highlight w:val="none"/>
        </w:rPr>
        <w:t>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rPr>
        <w:t>：一般为“社会”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“注册地址”一致。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工作人员总数：</w:t>
      </w:r>
      <w:r>
        <w:rPr>
          <w:rFonts w:hint="eastAsia" w:ascii="仿宋_GB2312" w:hAnsi="仿宋_GB2312" w:eastAsia="仿宋_GB2312" w:cs="仿宋_GB2312"/>
          <w:color w:val="auto"/>
          <w:kern w:val="0"/>
          <w:szCs w:val="32"/>
          <w:highlight w:val="none"/>
        </w:rPr>
        <w:t>根据实际情况填写，至少2人</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药品经营许可证编号及有效期：</w:t>
      </w:r>
      <w:r>
        <w:rPr>
          <w:rFonts w:hint="eastAsia" w:ascii="仿宋_GB2312" w:hAnsi="仿宋_GB2312" w:eastAsia="仿宋_GB2312" w:cs="仿宋_GB2312"/>
          <w:b w:val="0"/>
          <w:bCs w:val="0"/>
          <w:color w:val="auto"/>
          <w:kern w:val="0"/>
          <w:sz w:val="32"/>
          <w:szCs w:val="32"/>
          <w:highlight w:val="none"/>
          <w:lang w:eastAsia="zh-CN"/>
        </w:rPr>
        <w:t>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b w:val="0"/>
          <w:bCs w:val="0"/>
          <w:color w:val="auto"/>
          <w:kern w:val="0"/>
          <w:sz w:val="32"/>
          <w:szCs w:val="32"/>
          <w:highlight w:val="none"/>
          <w:lang w:eastAsia="zh-CN"/>
        </w:rPr>
        <w:t>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机构属地类别</w:t>
      </w:r>
      <w:r>
        <w:rPr>
          <w:rFonts w:hint="eastAsia" w:ascii="仿宋_GB2312" w:hAnsi="仿宋_GB2312" w:eastAsia="仿宋_GB2312" w:cs="仿宋_GB2312"/>
          <w:color w:val="auto"/>
          <w:kern w:val="0"/>
          <w:szCs w:val="32"/>
          <w:highlight w:val="none"/>
        </w:rPr>
        <w:t>：一般为“本地定点医药机构”</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根据实际情况填写。银行户名应与零售药店名称一致。</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rPr>
        <w:t>已填写“所属机构”的，此项不填。银行账号校验接口报错的，可删除该项信息，待成为新增定点零售药店后维护</w:t>
      </w:r>
      <w:r>
        <w:rPr>
          <w:rFonts w:hint="eastAsia" w:ascii="仿宋_GB2312" w:hAnsi="仿宋_GB2312" w:eastAsia="仿宋_GB2312" w:cs="仿宋_GB2312"/>
          <w:color w:val="auto"/>
          <w:kern w:val="0"/>
          <w:szCs w:val="32"/>
          <w:highlight w:val="none"/>
          <w:lang w:eastAsia="zh-CN"/>
        </w:rPr>
        <w:t>。</w:t>
      </w:r>
    </w:p>
    <w:p>
      <w:pPr>
        <w:pStyle w:val="2"/>
        <w:spacing w:line="560" w:lineRule="exact"/>
        <w:ind w:firstLine="632"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所属辖区医保经办机构：</w:t>
      </w:r>
      <w:r>
        <w:rPr>
          <w:rFonts w:hint="eastAsia" w:ascii="仿宋_GB2312" w:hAnsi="仿宋_GB2312" w:eastAsia="仿宋_GB2312" w:cs="仿宋_GB2312"/>
          <w:color w:val="auto"/>
          <w:kern w:val="0"/>
          <w:sz w:val="32"/>
          <w:szCs w:val="32"/>
          <w:highlight w:val="none"/>
          <w:lang w:val="en-US" w:eastAsia="zh-CN" w:bidi="ar-SA"/>
        </w:rPr>
        <w:t>为零售药店地址所在辖区的分局。</w:t>
      </w:r>
    </w:p>
    <w:p>
      <w:pPr>
        <w:pStyle w:val="2"/>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注册在该零售药店执业药师或药学技术人员信息：</w:t>
      </w:r>
      <w:r>
        <w:rPr>
          <w:rFonts w:hint="eastAsia" w:ascii="仿宋_GB2312" w:hAnsi="仿宋_GB2312" w:eastAsia="仿宋_GB2312" w:cs="仿宋_GB2312"/>
          <w:b w:val="0"/>
          <w:bCs w:val="0"/>
          <w:color w:val="auto"/>
          <w:kern w:val="0"/>
          <w:sz w:val="32"/>
          <w:szCs w:val="32"/>
          <w:highlight w:val="none"/>
          <w:lang w:val="en-US" w:eastAsia="zh-CN" w:bidi="ar-SA"/>
        </w:rPr>
        <w:t>必须与申请材料中的药师信息一致，并</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在国家医保信息业务编码标准数据库动态维护平台完成药师信息维护</w:t>
      </w:r>
      <w:r>
        <w:rPr>
          <w:rFonts w:hint="eastAsia" w:ascii="仿宋_GB2312" w:hAnsi="仿宋_GB2312" w:eastAsia="仿宋_GB2312" w:cs="仿宋_GB2312"/>
          <w:color w:val="auto"/>
          <w:ker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零售药店申请材料要求</w:t>
      </w:r>
    </w:p>
    <w:p>
      <w:pPr>
        <w:pStyle w:val="2"/>
        <w:rPr>
          <w:rFonts w:hint="eastAsia"/>
          <w:color w:val="auto"/>
          <w:highlight w:val="none"/>
          <w:lang w:val="en-US" w:eastAsia="zh-CN"/>
        </w:rPr>
      </w:pPr>
    </w:p>
    <w:tbl>
      <w:tblPr>
        <w:tblStyle w:val="13"/>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《深圳市新增定点零售药店申请表》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2.零售药店为分支机构的，加盖总部及分店公章；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3.有法定代表人、企业负责人及实际控制人签名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4.各类</w:t>
            </w:r>
            <w:r>
              <w:rPr>
                <w:rFonts w:hint="eastAsia" w:ascii="Times New Roman" w:hAnsi="Times New Roman" w:eastAsia="仿宋_GB2312" w:cs="Times New Roman"/>
                <w:b w:val="0"/>
                <w:i w:val="0"/>
                <w:caps w:val="0"/>
                <w:color w:val="auto"/>
                <w:spacing w:val="0"/>
                <w:w w:val="100"/>
                <w:kern w:val="0"/>
                <w:sz w:val="24"/>
                <w:szCs w:val="24"/>
                <w:highlight w:val="none"/>
                <w:lang w:eastAsia="zh-CN"/>
              </w:rPr>
              <w:t>药师</w:t>
            </w:r>
            <w:r>
              <w:rPr>
                <w:rFonts w:hint="eastAsia" w:ascii="Times New Roman" w:hAnsi="Times New Roman" w:eastAsia="仿宋_GB2312" w:cs="Times New Roman"/>
                <w:b w:val="0"/>
                <w:i w:val="0"/>
                <w:caps w:val="0"/>
                <w:color w:val="auto"/>
                <w:spacing w:val="0"/>
                <w:w w:val="100"/>
                <w:kern w:val="0"/>
                <w:sz w:val="24"/>
                <w:szCs w:val="24"/>
                <w:highlight w:val="none"/>
              </w:rPr>
              <w:t>应报尽报</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《药品经营许可证》、《营业执照》，法定代表人、企业负责人和实际控制人身份证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2.药品经营许可证发证日期距申请定点日期至少3个月；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3.经营方式应为零售或零售（连锁），不能是批发。</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全量药师证书等材料，包括执业药师资格证书、注册证、劳动合同和职工医保参保证明，药学技术人员相关证书、劳动合同和职工医保参保证明</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1.证书应当在有效期内且应能证明药师注册（备案）地为该药店；</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2.劳动（务）合同应当在有效期内并有双方签名，有效期最少1年；</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3.执业药师和药学技术人员应自劳动（务）合同期限开始起在该药店或连锁企业参加职工医保，在国家医保平台内查询参保记录；</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4.退休药师应参照劳动合同要求提供劳务关系证明。</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专（兼）职医保管理人员的劳动合同和职工医保参保证明</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1.至少2名，劳动（务）合同应当签订1年以上，在有效期内并有双方签名；</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2.应自劳动（务）合同期限开始起在本店或连锁企业参加职工医保，在国家医保平台内查询参保记录</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与医疗保障政策对应的内部管理制度（至少含医保药品管理制度、财务管理制度、医保人员管理制度、统计信息管理制度和医保费用结算制度）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财务管理制度至少包含机构医疗服务收入的收费渠道、银行账户等内容；医保人员管理制度至少包含医保人员工作管理、医保政策内部培训等内容；统计信息管理制度至少包含医保目录数据库维护工作机制等内容；分店可使用与总店一致的制度文本；</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2.各项制度文本内容无原则性、逻辑性错误，无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使用信息系统开展经营服务形成的经营数据截图，数据起始之日</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至少包含零售药店基本情况、自提交申请之日起前3个月运营状况：销售商品（含药品、医疗器械、保健食品、消毒用品、非医疗用品等）总量及总费用情况、预测分析纳入定点后医保基金使用情况、医保基金安全风险防范预案及措施等四个部分内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9</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《零售药店申请医保定点承诺书》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36"/>
        <w:gridCol w:w="2354"/>
        <w:gridCol w:w="2519"/>
        <w:gridCol w:w="21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4"/>
            <w:tcBorders>
              <w:top w:val="nil"/>
              <w:left w:val="nil"/>
              <w:bottom w:val="single" w:color="000000" w:sz="4" w:space="0"/>
              <w:right w:val="nil"/>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8"/>
                <w:szCs w:val="28"/>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新增定点零售药店申请表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药品经营许可证编号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经营方式</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经营范围</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二、人员配备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专（兼）职医保管理人员</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其他营业人员</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总人数</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0"/>
            <w:vAlign w:val="center"/>
          </w:tcPr>
          <w:p>
            <w:pPr>
              <w:widowControl/>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是否具备与医保政策对应的内部管理制度和财务制度</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是否建立药品进销存信息系统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是否设立医保/非医保专区，并有明确标识</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是否经营中药饮片</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本机构自愿承担基本医疗保险服务，申请成为医疗保险定点机构，并承诺不存在《零售药店医疗保障定点管理暂行办法》《广东省零售药店医疗保障定点管理暂行办法》等文件有关规定的不予受理定点申请的情形，且所提交资料全部真实有效，如有虚假成分，愿意承担一切相应的法律责任；如因本机构原因，零售药店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0"/>
            <w:vAlign w:val="center"/>
          </w:tcPr>
          <w:p>
            <w:pPr>
              <w:keepNext w:val="0"/>
              <w:keepLines w:val="0"/>
              <w:widowControl/>
              <w:suppressLineNumbers w:val="0"/>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年</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月</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日</w:t>
            </w:r>
          </w:p>
        </w:tc>
      </w:tr>
    </w:tbl>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pStyle w:val="5"/>
        <w:rPr>
          <w:rFonts w:hint="eastAsia"/>
          <w:color w:val="auto"/>
          <w:highlight w:val="none"/>
          <w:lang w:val="en-US" w:eastAsia="zh-CN"/>
        </w:rPr>
        <w:sectPr>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一、零售药店基本情况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数量</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药品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医疗器械</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保健食品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消毒用品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非医疗用品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总量</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药品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医疗器械</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保健食品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消毒用品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非医疗用品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9"/>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val="en-US" w:eastAsia="zh-CN"/>
        </w:rPr>
        <w:t>（盖章）</w:t>
      </w:r>
    </w:p>
    <w:p>
      <w:pPr>
        <w:pStyle w:val="9"/>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零售药店医保定点申请承诺书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本机构</w:t>
      </w:r>
      <w:r>
        <w:rPr>
          <w:rFonts w:hint="eastAsia" w:ascii="仿宋_GB2312" w:hAnsi="仿宋_GB2312" w:eastAsia="仿宋_GB2312" w:cs="仿宋_GB2312"/>
          <w:color w:val="auto"/>
          <w:sz w:val="32"/>
          <w:szCs w:val="32"/>
          <w:highlight w:val="none"/>
          <w:lang w:val="en-US" w:eastAsia="zh-CN"/>
        </w:rPr>
        <w:t>自愿申请成为医疗保障定点零售药店，认真学习《医疗保障基金使用监督管理条例》《零售药店医疗保障定点管理暂行办法》等政策法规，并郑重作出以下承诺：</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二、已正式使用信息系统经营服务至少3个月。</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三、至少有1名符合医保协议管理要求的药师在岗提供服务。</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四、按要求配备</w:t>
      </w:r>
      <w:r>
        <w:rPr>
          <w:rFonts w:hint="default" w:ascii="仿宋_GB2312" w:hAnsi="仿宋_GB2312" w:eastAsia="仿宋_GB2312" w:cs="仿宋_GB2312"/>
          <w:color w:val="auto"/>
          <w:sz w:val="32"/>
          <w:szCs w:val="32"/>
          <w:highlight w:val="none"/>
          <w:lang w:val="en-US" w:eastAsia="zh-CN"/>
        </w:rPr>
        <w:t>熟悉</w:t>
      </w:r>
      <w:r>
        <w:rPr>
          <w:rFonts w:hint="eastAsia" w:ascii="仿宋_GB2312" w:hAnsi="仿宋_GB2312" w:eastAsia="仿宋_GB2312" w:cs="仿宋_GB2312"/>
          <w:color w:val="auto"/>
          <w:sz w:val="32"/>
          <w:szCs w:val="32"/>
          <w:highlight w:val="none"/>
          <w:lang w:val="en-US" w:eastAsia="zh-CN"/>
        </w:rPr>
        <w:t>医疗保障法律法规和相关制度规定的专(兼)职医保管理人员，负责管理医保费用，并定期组织内部医保政策培训。</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五、按药品经营质量管理规范要求，开展药品分类分区管理，并对所售药品设立明确的医保用药标识。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六、具有符合医保协议管理要求的医保药品管理制度、财务管理制度、医保人员管理制度、统计信息管理制度和医保费用结算制度等。 </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七、具备符合医保协议管理要求的信息系统技术和接口标准，实现与医保信息系统有效对接，为参保人提供直接联网结算，建立医保药品等基础数据库，按规定使用国家和省统一医保编码。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八、签订医疗保障定点零售药店服务协议书前，已在国家医保信息业务编码标准数据库动态维护平台维护机构基本信息及全部药师信息，在纳入医保定点后，及时动态维护机构基本信息及药师信息等。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本机构将严格遵守上述承诺</w:t>
      </w:r>
      <w:r>
        <w:rPr>
          <w:rFonts w:hint="eastAsia" w:ascii="仿宋_GB2312" w:hAnsi="仿宋_GB2312" w:eastAsia="仿宋_GB2312" w:cs="仿宋_GB2312"/>
          <w:color w:val="auto"/>
          <w:sz w:val="32"/>
          <w:szCs w:val="32"/>
          <w:highlight w:val="none"/>
          <w:lang w:val="en-US" w:eastAsia="zh-CN"/>
        </w:rPr>
        <w:t>，申请医保定点过程中所报材料真实、合法、有效，如有不实，愿意承担一切责任、后果。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p>
    <w:p>
      <w:pPr>
        <w:pStyle w:val="2"/>
        <w:rPr>
          <w:rFonts w:hint="eastAsia" w:eastAsia="仿宋_GB2312"/>
          <w:color w:val="auto"/>
          <w:highlight w:val="none"/>
          <w:lang w:eastAsia="zh-CN"/>
        </w:rPr>
      </w:pPr>
    </w:p>
    <w:p>
      <w:pPr>
        <w:rPr>
          <w:rFonts w:hint="default"/>
          <w:color w:val="auto"/>
          <w:highlight w:val="none"/>
          <w:lang w:val="en-US" w:eastAsia="zh-CN"/>
        </w:rPr>
      </w:pPr>
    </w:p>
    <w:p>
      <w:pPr>
        <w:pStyle w:val="5"/>
        <w:rPr>
          <w:rFonts w:hint="default"/>
          <w:color w:val="auto"/>
          <w:highlight w:val="none"/>
          <w:lang w:val="en-US" w:eastAsia="zh-CN"/>
        </w:rPr>
      </w:pPr>
    </w:p>
    <w:p>
      <w:pPr>
        <w:rPr>
          <w:rFonts w:hint="default"/>
          <w:color w:val="auto"/>
          <w:highlight w:val="none"/>
          <w:lang w:val="en-US" w:eastAsia="zh-CN"/>
        </w:rPr>
      </w:pPr>
    </w:p>
    <w:p>
      <w:pPr>
        <w:pStyle w:val="5"/>
        <w:rPr>
          <w:rFonts w:hint="default"/>
          <w:color w:val="auto"/>
          <w:highlight w:val="none"/>
          <w:lang w:val="en-US" w:eastAsia="zh-CN"/>
        </w:rPr>
      </w:pPr>
    </w:p>
    <w:p>
      <w:pPr>
        <w:rPr>
          <w:rFonts w:hint="default"/>
          <w:color w:val="auto"/>
          <w:highlight w:val="none"/>
          <w:lang w:val="en-US" w:eastAsia="zh-CN"/>
        </w:rPr>
      </w:pPr>
    </w:p>
    <w:p>
      <w:pPr>
        <w:pStyle w:val="2"/>
        <w:rPr>
          <w:rFonts w:hint="default"/>
          <w:color w:val="auto"/>
          <w:highlight w:val="none"/>
          <w:lang w:val="en-US" w:eastAsia="zh-CN"/>
        </w:rPr>
      </w:pPr>
    </w:p>
    <w:p>
      <w:pPr>
        <w:pStyle w:val="2"/>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9"/>
        <w:spacing w:line="560" w:lineRule="exact"/>
        <w:ind w:firstLine="632" w:firstLineChars="200"/>
        <w:rPr>
          <w:rFonts w:hint="eastAsia" w:ascii="仿宋_GB2312" w:hAnsi="仿宋_GB2312" w:eastAsia="仿宋_GB2312" w:cs="仿宋_GB2312"/>
          <w:color w:val="auto"/>
          <w:kern w:val="0"/>
          <w:szCs w:val="32"/>
          <w:highlight w:val="none"/>
        </w:rPr>
      </w:pPr>
    </w:p>
    <w:p>
      <w:pPr>
        <w:pStyle w:val="9"/>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）《深圳市医疗保障定点零售药店申请表》；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b w:val="0"/>
          <w:bCs w:val="0"/>
          <w:color w:val="auto"/>
          <w:kern w:val="0"/>
          <w:sz w:val="32"/>
          <w:szCs w:val="32"/>
          <w:highlight w:val="none"/>
          <w:lang w:eastAsia="zh-CN"/>
        </w:rPr>
        <w:t>》、《营业执照》，</w:t>
      </w:r>
      <w:r>
        <w:rPr>
          <w:rFonts w:hint="eastAsia" w:ascii="仿宋_GB2312" w:hAnsi="仿宋_GB2312" w:eastAsia="仿宋_GB2312" w:cs="仿宋_GB2312"/>
          <w:color w:val="auto"/>
          <w:kern w:val="0"/>
          <w:szCs w:val="32"/>
          <w:highlight w:val="none"/>
        </w:rPr>
        <w:t>法定代表人、</w:t>
      </w:r>
      <w:r>
        <w:rPr>
          <w:rFonts w:hint="eastAsia" w:ascii="仿宋_GB2312" w:hAnsi="仿宋_GB2312" w:eastAsia="仿宋_GB2312" w:cs="仿宋_GB2312"/>
          <w:color w:val="auto"/>
          <w:kern w:val="0"/>
          <w:szCs w:val="32"/>
          <w:highlight w:val="none"/>
          <w:lang w:eastAsia="zh-CN"/>
        </w:rPr>
        <w:t>企业</w:t>
      </w:r>
      <w:r>
        <w:rPr>
          <w:rFonts w:hint="eastAsia" w:ascii="仿宋_GB2312" w:hAnsi="仿宋_GB2312" w:eastAsia="仿宋_GB2312" w:cs="仿宋_GB2312"/>
          <w:color w:val="auto"/>
          <w:kern w:val="0"/>
          <w:szCs w:val="32"/>
          <w:highlight w:val="none"/>
        </w:rPr>
        <w:t>负责人</w:t>
      </w:r>
      <w:r>
        <w:rPr>
          <w:rFonts w:hint="eastAsia" w:ascii="仿宋_GB2312" w:hAnsi="仿宋_GB2312" w:eastAsia="仿宋_GB2312" w:cs="仿宋_GB2312"/>
          <w:color w:val="auto"/>
          <w:kern w:val="0"/>
          <w:szCs w:val="32"/>
          <w:highlight w:val="none"/>
          <w:lang w:eastAsia="zh-CN"/>
        </w:rPr>
        <w:t>和</w:t>
      </w:r>
      <w:r>
        <w:rPr>
          <w:rFonts w:hint="eastAsia" w:ascii="仿宋_GB2312" w:hAnsi="仿宋_GB2312" w:eastAsia="仿宋_GB2312" w:cs="仿宋_GB2312"/>
          <w:color w:val="auto"/>
          <w:kern w:val="0"/>
          <w:szCs w:val="32"/>
          <w:highlight w:val="none"/>
        </w:rPr>
        <w:t>实际控制人身份证</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三</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全量药师证书等材料</w:t>
      </w:r>
      <w:r>
        <w:rPr>
          <w:rFonts w:hint="eastAsia" w:ascii="仿宋_GB2312" w:hAnsi="仿宋_GB2312" w:eastAsia="仿宋_GB2312" w:cs="仿宋_GB2312"/>
          <w:color w:val="auto"/>
          <w:kern w:val="0"/>
          <w:szCs w:val="32"/>
          <w:highlight w:val="none"/>
          <w:lang w:eastAsia="zh-CN"/>
        </w:rPr>
        <w:t>，包括</w:t>
      </w:r>
      <w:r>
        <w:rPr>
          <w:rFonts w:hint="eastAsia" w:ascii="仿宋_GB2312" w:hAnsi="仿宋_GB2312" w:eastAsia="仿宋_GB2312" w:cs="仿宋_GB2312"/>
          <w:color w:val="auto"/>
          <w:szCs w:val="32"/>
          <w:highlight w:val="none"/>
        </w:rPr>
        <w:t>执业药师资格证书、注册证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药学技术人员相关证书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rPr>
        <w:t>（四）</w:t>
      </w:r>
      <w:r>
        <w:rPr>
          <w:rFonts w:ascii="仿宋_GB2312" w:hAnsi="仿宋_GB2312" w:eastAsia="仿宋_GB2312" w:cs="仿宋_GB2312"/>
          <w:color w:val="auto"/>
          <w:kern w:val="0"/>
          <w:szCs w:val="32"/>
          <w:highlight w:val="none"/>
        </w:rPr>
        <w:t>专（兼）职医保管理人员的劳动合同</w:t>
      </w:r>
      <w:r>
        <w:rPr>
          <w:rFonts w:hint="eastAsia" w:ascii="仿宋_GB2312" w:hAnsi="仿宋_GB2312" w:eastAsia="仿宋_GB2312" w:cs="仿宋_GB2312"/>
          <w:color w:val="auto"/>
          <w:kern w:val="0"/>
          <w:szCs w:val="32"/>
          <w:highlight w:val="none"/>
        </w:rPr>
        <w:t>和职工医保参保证明</w:t>
      </w:r>
      <w:r>
        <w:rPr>
          <w:rFonts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color w:val="auto"/>
          <w:kern w:val="0"/>
          <w:szCs w:val="32"/>
          <w:highlight w:val="none"/>
          <w:lang w:eastAsia="zh-CN"/>
        </w:rPr>
        <w:t>（五）</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Cs w:val="32"/>
          <w:highlight w:val="none"/>
        </w:rPr>
        <w:t>至少含医保药品管理制度、财务管理制度、医保人员管理制度、统计信息管理制度和医保费用结算制度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sz w:val="32"/>
          <w:szCs w:val="32"/>
          <w:highlight w:val="none"/>
          <w:lang w:val="en-US" w:eastAsia="zh-CN"/>
        </w:rPr>
        <w:t>正式启用信息系统开展服务之日距申请定点日期至少3个月的佐证材料；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eastAsia="zh-CN"/>
        </w:rPr>
        <w:t>（七）</w:t>
      </w:r>
      <w:r>
        <w:rPr>
          <w:rFonts w:hint="eastAsia" w:ascii="仿宋_GB2312" w:hAnsi="仿宋_GB2312" w:eastAsia="仿宋_GB2312" w:cs="仿宋_GB2312"/>
          <w:sz w:val="32"/>
          <w:szCs w:val="32"/>
          <w:highlight w:val="none"/>
          <w:lang w:val="en-US" w:eastAsia="zh-CN"/>
        </w:rPr>
        <w:t>设立医保药品等基础数据库，使用统一的医保编码的佐证材料；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八</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（九）《零售药店申请医保定点承诺书》；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zCs w:val="32"/>
          <w:highlight w:val="none"/>
        </w:rPr>
        <w:t>药店正门开业状态照片（需包含药店招牌、名</w:t>
      </w:r>
      <w:r>
        <w:rPr>
          <w:rFonts w:hint="eastAsia" w:ascii="仿宋_GB2312" w:hAnsi="仿宋_GB2312" w:eastAsia="仿宋_GB2312" w:cs="仿宋_GB2312"/>
          <w:color w:val="auto"/>
          <w:szCs w:val="32"/>
          <w:highlight w:val="none"/>
          <w:shd w:val="clear" w:color="auto" w:fill="FFFFFF"/>
        </w:rPr>
        <w:t>称、门牌号码）</w:t>
      </w:r>
      <w:r>
        <w:rPr>
          <w:rFonts w:hint="eastAsia" w:ascii="仿宋_GB2312" w:hAnsi="仿宋_GB2312" w:eastAsia="仿宋_GB2312" w:cs="仿宋_GB2312"/>
          <w:color w:val="auto"/>
          <w:szCs w:val="32"/>
          <w:highlight w:val="none"/>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szCs w:val="32"/>
          <w:highlight w:val="none"/>
        </w:rPr>
        <w:t>医保药品标识照片</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（五）</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zCs w:val="32"/>
          <w:highlight w:val="none"/>
        </w:rPr>
        <w:t>药店正门开业状态照片（需包含药店招牌、名</w:t>
      </w:r>
      <w:r>
        <w:rPr>
          <w:rFonts w:hint="eastAsia" w:ascii="仿宋_GB2312" w:hAnsi="仿宋_GB2312" w:eastAsia="仿宋_GB2312" w:cs="仿宋_GB2312"/>
          <w:b/>
          <w:bCs/>
          <w:color w:val="auto"/>
          <w:szCs w:val="32"/>
          <w:highlight w:val="none"/>
          <w:shd w:val="clear" w:color="auto" w:fill="FFFFFF"/>
        </w:rPr>
        <w:t>称、门牌号码）</w:t>
      </w:r>
      <w:r>
        <w:rPr>
          <w:rFonts w:hint="eastAsia" w:ascii="仿宋_GB2312" w:hAnsi="仿宋_GB2312" w:eastAsia="仿宋_GB2312" w:cs="仿宋_GB2312"/>
          <w:b/>
          <w:bCs/>
          <w:color w:val="auto"/>
          <w:szCs w:val="32"/>
          <w:highlight w:val="none"/>
          <w:shd w:val="clear" w:color="auto" w:fill="FFFFFF"/>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未成为医保定点前不得张贴“医保定点”</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3.在注册地址正式经营至少3个月；4.</w:t>
      </w:r>
      <w:r>
        <w:rPr>
          <w:rFonts w:hint="eastAsia" w:ascii="仿宋_GB2312" w:hAnsi="仿宋_GB2312" w:eastAsia="仿宋_GB2312" w:cs="仿宋_GB2312"/>
          <w:color w:val="auto"/>
          <w:kern w:val="0"/>
          <w:szCs w:val="32"/>
          <w:highlight w:val="none"/>
        </w:rPr>
        <w:t>药师应在岗提供服务、处方药销售记录、销售单登记的药师应为本店注册药师</w:t>
      </w:r>
      <w:r>
        <w:rPr>
          <w:rFonts w:hint="eastAsia" w:ascii="仿宋_GB2312" w:hAnsi="仿宋_GB2312" w:eastAsia="仿宋_GB2312" w:cs="仿宋_GB2312"/>
          <w:color w:val="auto"/>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szCs w:val="32"/>
          <w:highlight w:val="none"/>
        </w:rPr>
        <w:t>医保药品标识照片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（五）</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深圳市零售药店综合条件评估表</w:t>
      </w:r>
    </w:p>
    <w:tbl>
      <w:tblPr>
        <w:tblStyle w:val="1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1"/>
        <w:gridCol w:w="887"/>
        <w:gridCol w:w="5579"/>
        <w:gridCol w:w="55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指标编号</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评估项目</w:t>
            </w: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28"/>
                <w:szCs w:val="28"/>
                <w:highlight w:val="none"/>
                <w:u w:val="none"/>
              </w:rPr>
            </w:pPr>
            <w:r>
              <w:rPr>
                <w:rFonts w:hint="eastAsia" w:ascii="黑体" w:hAnsi="宋体" w:eastAsia="黑体" w:cs="黑体"/>
                <w:i w:val="0"/>
                <w:iCs w:val="0"/>
                <w:color w:val="000000"/>
                <w:kern w:val="0"/>
                <w:sz w:val="28"/>
                <w:szCs w:val="28"/>
                <w:highlight w:val="none"/>
                <w:u w:val="none"/>
                <w:lang w:val="en-US" w:eastAsia="zh-CN" w:bidi="ar"/>
              </w:rPr>
              <w:t>评估细目及要求</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28"/>
                <w:szCs w:val="28"/>
                <w:highlight w:val="none"/>
                <w:u w:val="none"/>
                <w:lang w:val="en-US" w:eastAsia="zh-CN" w:bidi="ar"/>
              </w:rPr>
            </w:pPr>
            <w:r>
              <w:rPr>
                <w:rFonts w:hint="eastAsia" w:ascii="黑体" w:hAnsi="宋体" w:eastAsia="黑体" w:cs="黑体"/>
                <w:i w:val="0"/>
                <w:iCs w:val="0"/>
                <w:color w:val="000000"/>
                <w:kern w:val="0"/>
                <w:sz w:val="28"/>
                <w:szCs w:val="28"/>
                <w:highlight w:val="none"/>
                <w:u w:val="none"/>
                <w:lang w:val="en-US" w:eastAsia="zh-CN" w:bidi="ar"/>
              </w:rPr>
              <w:t>评估方式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A-01</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基础配置</w:t>
            </w:r>
            <w:r>
              <w:rPr>
                <w:rFonts w:hint="eastAsia" w:ascii="宋体" w:hAnsi="宋体" w:eastAsia="宋体" w:cs="宋体"/>
                <w:b/>
                <w:bCs/>
                <w:i w:val="0"/>
                <w:iCs w:val="0"/>
                <w:color w:val="000000"/>
                <w:kern w:val="0"/>
                <w:sz w:val="28"/>
                <w:szCs w:val="28"/>
                <w:highlight w:val="none"/>
                <w:u w:val="none"/>
                <w:lang w:val="en-US" w:eastAsia="zh-CN" w:bidi="ar"/>
              </w:rPr>
              <w:br w:type="textWrapping"/>
            </w:r>
            <w:r>
              <w:rPr>
                <w:rFonts w:hint="eastAsia" w:ascii="宋体" w:hAnsi="宋体" w:eastAsia="宋体" w:cs="宋体"/>
                <w:b/>
                <w:bCs/>
                <w:i w:val="0"/>
                <w:iCs w:val="0"/>
                <w:color w:val="000000"/>
                <w:kern w:val="0"/>
                <w:sz w:val="28"/>
                <w:szCs w:val="28"/>
                <w:highlight w:val="none"/>
                <w:u w:val="none"/>
                <w:lang w:val="en-US" w:eastAsia="zh-CN" w:bidi="ar"/>
              </w:rPr>
              <w:t>（40分）</w:t>
            </w: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sz w:val="28"/>
                <w:szCs w:val="28"/>
                <w:highlight w:val="none"/>
                <w:lang w:val="en-US" w:eastAsia="zh-CN" w:bidi="ar"/>
              </w:rPr>
              <w:t>【人员配置】</w:t>
            </w:r>
            <w:r>
              <w:rPr>
                <w:rStyle w:val="28"/>
                <w:rFonts w:hint="eastAsia"/>
                <w:b w:val="0"/>
                <w:bCs w:val="0"/>
                <w:sz w:val="28"/>
                <w:szCs w:val="28"/>
                <w:highlight w:val="none"/>
                <w:lang w:val="en-US" w:eastAsia="zh-CN" w:bidi="ar"/>
              </w:rPr>
              <w:t>执业药师按照考核期内月均实际执业药师数计分。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1.执业药师与零售药店直接签订一年以上劳动合同，且《执业药师注册证》执业单位注册在该药店，月均实际药学人员数每达1人，得9分。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rFonts w:hint="eastAsia"/>
                <w:b w:val="0"/>
                <w:bCs w:val="0"/>
                <w:sz w:val="28"/>
                <w:szCs w:val="28"/>
                <w:highlight w:val="none"/>
                <w:lang w:val="en-US" w:eastAsia="zh-CN" w:bidi="ar"/>
              </w:rPr>
            </w:pPr>
            <w:r>
              <w:rPr>
                <w:rStyle w:val="28"/>
                <w:rFonts w:hint="eastAsia"/>
                <w:b w:val="0"/>
                <w:bCs w:val="0"/>
                <w:sz w:val="28"/>
                <w:szCs w:val="28"/>
                <w:highlight w:val="none"/>
                <w:lang w:val="en-US" w:eastAsia="zh-CN" w:bidi="ar"/>
              </w:rPr>
              <w:t>2.执业药师与零售药店总公司签订一年以上劳动合同的，且《执业药师注册证》中执业单位为该零售药店，月均实际药学人员数每达1人，得9分。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rFonts w:hint="eastAsia"/>
                <w:b w:val="0"/>
                <w:bCs w:val="0"/>
                <w:sz w:val="28"/>
                <w:szCs w:val="28"/>
                <w:highlight w:val="none"/>
                <w:lang w:val="en-US" w:eastAsia="zh-CN" w:bidi="ar"/>
              </w:rPr>
              <w:t>注：（1）月均实际执业药师数=Σ（考核期内每月符合条件的实际在岗执业药师人数）/考核月数。其中，零售药店实际运营满12个月的，考核月数按12计算；不满12个月的按实际月数计算；计算结果保留小数点后一位（四舍五入）；月均实际执业药师数超出整数部分，按比例折算得分。（2）本项人员累计得分不超过36分；（3）同一名执业药师仅能选择一种签约关系对应的标准进行申报，不得重复计分。（4）实际从事药品活动可以核查社保、处方、打卡记录等方式确认。</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cs="宋体"/>
                <w:i w:val="0"/>
                <w:iCs w:val="0"/>
                <w:color w:val="000000"/>
                <w:sz w:val="28"/>
                <w:szCs w:val="28"/>
                <w:highlight w:val="none"/>
                <w:lang w:val="en-US" w:eastAsia="zh-CN" w:bidi="ar"/>
              </w:rPr>
              <w:t>零售药店</w:t>
            </w:r>
            <w:r>
              <w:rPr>
                <w:rStyle w:val="33"/>
                <w:rFonts w:ascii="宋体" w:hAnsi="宋体" w:eastAsia="宋体" w:cs="宋体"/>
                <w:i w:val="0"/>
                <w:iCs w:val="0"/>
                <w:color w:val="000000"/>
                <w:sz w:val="28"/>
                <w:szCs w:val="28"/>
                <w:highlight w:val="none"/>
                <w:lang w:val="en-US" w:eastAsia="zh-CN" w:bidi="ar"/>
              </w:rPr>
              <w:t>提供考核期</w:t>
            </w:r>
            <w:r>
              <w:rPr>
                <w:rStyle w:val="33"/>
                <w:rFonts w:ascii="宋体" w:hAnsi="宋体" w:cs="宋体"/>
                <w:i w:val="0"/>
                <w:iCs w:val="0"/>
                <w:color w:val="000000"/>
                <w:sz w:val="28"/>
                <w:szCs w:val="28"/>
                <w:highlight w:val="none"/>
                <w:lang w:val="en-US" w:eastAsia="zh-CN" w:bidi="ar"/>
              </w:rPr>
              <w:t>执业药师</w:t>
            </w:r>
            <w:r>
              <w:rPr>
                <w:rStyle w:val="33"/>
                <w:rFonts w:ascii="宋体" w:hAnsi="宋体" w:eastAsia="宋体" w:cs="宋体"/>
                <w:i w:val="0"/>
                <w:iCs w:val="0"/>
                <w:color w:val="000000"/>
                <w:sz w:val="28"/>
                <w:szCs w:val="28"/>
                <w:highlight w:val="none"/>
                <w:lang w:val="en-US" w:eastAsia="zh-CN" w:bidi="ar"/>
              </w:rPr>
              <w:t>执业证书等材料，辖区医保分局核算，必要时现场核查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A-02</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sz w:val="28"/>
                <w:szCs w:val="28"/>
                <w:highlight w:val="none"/>
                <w:lang w:val="en-US" w:eastAsia="zh-CN" w:bidi="ar"/>
              </w:rPr>
              <w:t>【服务范围】</w:t>
            </w:r>
            <w:r>
              <w:rPr>
                <w:rStyle w:val="29"/>
                <w:rFonts w:hint="eastAsia"/>
                <w:sz w:val="28"/>
                <w:szCs w:val="28"/>
                <w:highlight w:val="none"/>
                <w:lang w:val="en-US" w:eastAsia="zh-CN" w:bidi="ar"/>
              </w:rPr>
              <w:t>统计零售药店《药品经营许可证》经营范围包括处方药、甲类非处方药、乙类非处方药，化学药制剂、中成药、中药饮片、生物制品，以上含冷藏冷冻药品的，每提供一项服务得0.5分，累计上限为4分。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hint="eastAsia" w:ascii="宋体" w:hAnsi="宋体" w:eastAsia="宋体" w:cs="宋体"/>
                <w:b w:val="0"/>
                <w:bCs w:val="0"/>
                <w:i w:val="0"/>
                <w:iCs w:val="0"/>
                <w:color w:val="000000"/>
                <w:sz w:val="28"/>
                <w:szCs w:val="28"/>
                <w:highlight w:val="none"/>
                <w:lang w:val="en-US" w:eastAsia="zh-CN" w:bidi="ar"/>
              </w:rPr>
              <w:t>零售药店提供《药品经营许可证</w:t>
            </w:r>
            <w:r>
              <w:rPr>
                <w:rStyle w:val="31"/>
                <w:rFonts w:hint="eastAsia" w:ascii="宋体" w:hAnsi="宋体" w:eastAsia="宋体" w:cs="宋体"/>
                <w:b w:val="0"/>
                <w:bCs w:val="0"/>
                <w:sz w:val="28"/>
                <w:szCs w:val="28"/>
                <w:highlight w:val="none"/>
                <w:lang w:val="en-US" w:eastAsia="zh-CN" w:bidi="ar"/>
              </w:rPr>
              <w:t>》，辖区医保分局核算，必要时现场核查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B-01</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服务质量</w:t>
            </w:r>
            <w:r>
              <w:rPr>
                <w:rFonts w:hint="eastAsia" w:ascii="宋体" w:hAnsi="宋体" w:eastAsia="宋体" w:cs="宋体"/>
                <w:b/>
                <w:bCs/>
                <w:i w:val="0"/>
                <w:iCs w:val="0"/>
                <w:color w:val="000000"/>
                <w:kern w:val="0"/>
                <w:sz w:val="28"/>
                <w:szCs w:val="28"/>
                <w:highlight w:val="none"/>
                <w:u w:val="none"/>
                <w:lang w:val="en-US" w:eastAsia="zh-CN" w:bidi="ar"/>
              </w:rPr>
              <w:br w:type="textWrapping"/>
            </w:r>
            <w:r>
              <w:rPr>
                <w:rFonts w:hint="eastAsia" w:ascii="宋体" w:hAnsi="宋体" w:eastAsia="宋体" w:cs="宋体"/>
                <w:b/>
                <w:bCs/>
                <w:i w:val="0"/>
                <w:iCs w:val="0"/>
                <w:color w:val="000000"/>
                <w:kern w:val="0"/>
                <w:sz w:val="28"/>
                <w:szCs w:val="28"/>
                <w:highlight w:val="none"/>
                <w:u w:val="none"/>
                <w:lang w:val="en-US" w:eastAsia="zh-CN" w:bidi="ar"/>
              </w:rPr>
              <w:t>（32分）</w:t>
            </w: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8"/>
                <w:sz w:val="28"/>
                <w:szCs w:val="28"/>
                <w:highlight w:val="none"/>
                <w:lang w:val="en-US" w:eastAsia="zh-CN" w:bidi="ar"/>
              </w:rPr>
              <w:t>【医保知识技能】</w:t>
            </w:r>
            <w:r>
              <w:rPr>
                <w:rStyle w:val="29"/>
                <w:rFonts w:hint="eastAsia"/>
                <w:sz w:val="28"/>
                <w:szCs w:val="28"/>
                <w:highlight w:val="none"/>
                <w:lang w:val="en-US" w:eastAsia="zh-CN" w:bidi="ar"/>
              </w:rPr>
              <w:t>每年度集中组织零售药店负责人、专（兼）职医保管理人员开展一次医保知识考试：</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·考核分数≥90分的，得4分；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·80≤考核分数＜90分的，得2分；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·任何一名考核分数&lt;80分的，本项不得分。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9"/>
                <w:rFonts w:hint="eastAsia"/>
                <w:sz w:val="28"/>
                <w:szCs w:val="28"/>
                <w:highlight w:val="none"/>
                <w:lang w:val="en-US" w:eastAsia="zh-CN" w:bidi="ar"/>
              </w:rPr>
              <w:t>考核分值最高不超过8分，按照最高分计，不重复计分。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eastAsia="宋体" w:cs="宋体"/>
                <w:i w:val="0"/>
                <w:iCs w:val="0"/>
                <w:color w:val="000000"/>
                <w:sz w:val="28"/>
                <w:szCs w:val="28"/>
                <w:highlight w:val="none"/>
                <w:lang w:val="en-US" w:eastAsia="zh-CN" w:bidi="ar"/>
              </w:rPr>
              <w:t>辖区医保分局通过学考通平台后台获取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B-02</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sz w:val="28"/>
                <w:szCs w:val="28"/>
                <w:highlight w:val="none"/>
                <w:lang w:val="en-US" w:eastAsia="zh-CN" w:bidi="ar"/>
              </w:rPr>
              <w:t>【违法违规行为】</w:t>
            </w:r>
            <w:r>
              <w:rPr>
                <w:rStyle w:val="29"/>
                <w:rFonts w:hint="eastAsia"/>
                <w:sz w:val="28"/>
                <w:szCs w:val="28"/>
                <w:highlight w:val="none"/>
                <w:lang w:val="en-US" w:eastAsia="zh-CN" w:bidi="ar"/>
              </w:rPr>
              <w:t>自市医疗保障经办机构发布受理通知之日的前一年内，无相关行政主管部门作出的违法违规处罚记录，得6分。反之，本项不得分。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eastAsia="宋体" w:cs="宋体"/>
                <w:i w:val="0"/>
                <w:iCs w:val="0"/>
                <w:color w:val="000000"/>
                <w:sz w:val="28"/>
                <w:szCs w:val="28"/>
                <w:highlight w:val="none"/>
                <w:lang w:val="en-US" w:eastAsia="zh-CN" w:bidi="ar"/>
              </w:rPr>
              <w:t>辖区医保分局发函至相关行政主管部门确认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B-03</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sz w:val="28"/>
                <w:szCs w:val="28"/>
                <w:highlight w:val="none"/>
                <w:lang w:val="en-US" w:eastAsia="zh-CN" w:bidi="ar"/>
              </w:rPr>
              <w:t>【不良执业行为】</w:t>
            </w:r>
            <w:r>
              <w:rPr>
                <w:rStyle w:val="29"/>
                <w:rFonts w:hint="eastAsia"/>
                <w:sz w:val="28"/>
                <w:szCs w:val="28"/>
                <w:highlight w:val="none"/>
                <w:lang w:val="en-US" w:eastAsia="zh-CN" w:bidi="ar"/>
              </w:rPr>
              <w:t>自市医疗保障经办机构发布受理通知之日的前三年内，注册在该机构的执业药师、其他药学技术人员无药品监督管理部门作出的个人不良信息记录，该机构主要负责人无医保支付资格记分记录，且法定代表人、主要负责人及实际控制人无犯罪记录的，得6分。反之，本项不得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33"/>
                <w:rFonts w:ascii="宋体" w:hAnsi="宋体" w:eastAsia="宋体" w:cs="宋体"/>
                <w:i w:val="0"/>
                <w:iCs w:val="0"/>
                <w:color w:val="000000"/>
                <w:sz w:val="28"/>
                <w:szCs w:val="28"/>
                <w:highlight w:val="none"/>
                <w:lang w:val="en-US" w:eastAsia="zh-CN" w:bidi="ar"/>
              </w:rPr>
            </w:pPr>
            <w:r>
              <w:rPr>
                <w:rStyle w:val="33"/>
                <w:rFonts w:hint="eastAsia" w:ascii="宋体" w:hAnsi="宋体" w:eastAsia="宋体" w:cs="宋体"/>
                <w:i w:val="0"/>
                <w:iCs w:val="0"/>
                <w:color w:val="000000"/>
                <w:sz w:val="28"/>
                <w:szCs w:val="28"/>
                <w:highlight w:val="none"/>
                <w:lang w:val="en-US" w:eastAsia="zh-CN" w:bidi="ar"/>
              </w:rPr>
              <w:t>1.</w:t>
            </w:r>
            <w:r>
              <w:rPr>
                <w:rStyle w:val="33"/>
                <w:rFonts w:ascii="宋体" w:hAnsi="宋体" w:eastAsia="宋体" w:cs="宋体"/>
                <w:i w:val="0"/>
                <w:iCs w:val="0"/>
                <w:color w:val="000000"/>
                <w:sz w:val="28"/>
                <w:szCs w:val="28"/>
                <w:highlight w:val="none"/>
                <w:lang w:val="en-US" w:eastAsia="zh-CN" w:bidi="ar"/>
              </w:rPr>
              <w:t>辖区医保分局发函至卫生健康部门主管部门确认</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hint="eastAsia" w:ascii="宋体" w:hAnsi="宋体" w:eastAsia="宋体" w:cs="宋体"/>
                <w:i w:val="0"/>
                <w:iCs w:val="0"/>
                <w:color w:val="000000"/>
                <w:sz w:val="28"/>
                <w:szCs w:val="28"/>
                <w:highlight w:val="none"/>
                <w:lang w:val="en-US" w:eastAsia="zh-CN" w:bidi="ar"/>
              </w:rPr>
              <w:t>2.</w:t>
            </w:r>
            <w:r>
              <w:rPr>
                <w:rStyle w:val="33"/>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B-04</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sz w:val="28"/>
                <w:szCs w:val="28"/>
                <w:highlight w:val="none"/>
                <w:lang w:val="en-US" w:eastAsia="zh-CN" w:bidi="ar"/>
              </w:rPr>
              <w:t>【医保绩效考核】</w:t>
            </w:r>
            <w:r>
              <w:rPr>
                <w:rStyle w:val="29"/>
                <w:rFonts w:hint="eastAsia"/>
                <w:sz w:val="28"/>
                <w:szCs w:val="28"/>
                <w:highlight w:val="none"/>
                <w:lang w:val="en-US" w:eastAsia="zh-CN" w:bidi="ar"/>
              </w:rPr>
              <w:t>自市医疗保障经办机构发布受理通知之日的前三年内，不存在因医保绩效考核、不符合周期性续签条件等被不予续签医疗保障服务协议，以及因违反医疗保障服务协议约定，导致医疗保障服务协议被解除或被终止的，得6分。反之，本项不得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B-05</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8"/>
                <w:sz w:val="28"/>
                <w:szCs w:val="28"/>
                <w:highlight w:val="none"/>
                <w:lang w:val="en-US" w:eastAsia="zh-CN" w:bidi="ar"/>
              </w:rPr>
              <w:t>【关联违规记录】</w:t>
            </w:r>
            <w:r>
              <w:rPr>
                <w:rStyle w:val="29"/>
                <w:rFonts w:hint="eastAsia"/>
                <w:sz w:val="28"/>
                <w:szCs w:val="28"/>
                <w:highlight w:val="none"/>
                <w:lang w:val="en-US" w:eastAsia="zh-CN" w:bidi="ar"/>
              </w:rPr>
              <w:t>自市医疗保障经办机构发布受理通知之日的前三年内，零售药店及其关联方（包括同一法定代表人、主要负责人、实际控制人的其他医药机构）不存在通过定点零售药店代为进行医保费用结算或为其他机构提供医保结算的违法违规违约行为，得6分。</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C-01</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服务能力</w:t>
            </w:r>
            <w:r>
              <w:rPr>
                <w:rFonts w:hint="eastAsia" w:ascii="宋体" w:hAnsi="宋体" w:eastAsia="宋体" w:cs="宋体"/>
                <w:b/>
                <w:bCs/>
                <w:i w:val="0"/>
                <w:iCs w:val="0"/>
                <w:color w:val="000000"/>
                <w:kern w:val="0"/>
                <w:sz w:val="28"/>
                <w:szCs w:val="28"/>
                <w:highlight w:val="none"/>
                <w:u w:val="none"/>
                <w:lang w:val="en-US" w:eastAsia="zh-CN" w:bidi="ar"/>
              </w:rPr>
              <w:br w:type="textWrapping"/>
            </w:r>
            <w:r>
              <w:rPr>
                <w:rFonts w:hint="eastAsia" w:ascii="宋体" w:hAnsi="宋体" w:eastAsia="宋体" w:cs="宋体"/>
                <w:b/>
                <w:bCs/>
                <w:i w:val="0"/>
                <w:iCs w:val="0"/>
                <w:color w:val="000000"/>
                <w:kern w:val="0"/>
                <w:sz w:val="28"/>
                <w:szCs w:val="28"/>
                <w:highlight w:val="none"/>
                <w:u w:val="none"/>
                <w:lang w:val="en-US" w:eastAsia="zh-CN" w:bidi="ar"/>
              </w:rPr>
              <w:t>（28分）</w:t>
            </w: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8"/>
                <w:sz w:val="28"/>
                <w:szCs w:val="28"/>
                <w:highlight w:val="none"/>
                <w:lang w:val="en-US" w:eastAsia="zh-CN" w:bidi="ar"/>
              </w:rPr>
              <w:t>【销售金额】</w:t>
            </w:r>
            <w:r>
              <w:rPr>
                <w:rStyle w:val="29"/>
                <w:rFonts w:hint="eastAsia"/>
                <w:sz w:val="28"/>
                <w:szCs w:val="28"/>
                <w:highlight w:val="none"/>
                <w:lang w:val="en-US" w:eastAsia="zh-CN" w:bidi="ar"/>
              </w:rPr>
              <w:t>核查零售药店在市医疗保障经办机构发布受理通知之日前三个连续完整自然月的医保药品（网络销售医保药品、“双通道”药品、“港澳药械通”、惠民保中罕见病用药、符合规定的创新药品及耗材等费用不纳入此项指标计算范围）销售金额，计算其月平均值。如该店月平均值高于或等于该药店所属行政区（含新区）同期所有定点零售药店医保药品记账金额平均值的，得8分。反之，不此项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9"/>
                <w:rFonts w:hint="eastAsia"/>
                <w:sz w:val="28"/>
                <w:szCs w:val="28"/>
                <w:highlight w:val="none"/>
                <w:lang w:val="en-US" w:eastAsia="zh-CN" w:bidi="ar"/>
              </w:rPr>
              <w:t>注：前三个连续完整自然月不含市医疗保障经办机构发布受理通知当月。</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hint="eastAsia" w:ascii="宋体" w:hAnsi="宋体" w:eastAsia="宋体" w:cs="宋体"/>
                <w:i w:val="0"/>
                <w:iCs w:val="0"/>
                <w:color w:val="000000"/>
                <w:sz w:val="28"/>
                <w:szCs w:val="28"/>
                <w:highlight w:val="none"/>
                <w:lang w:val="en-US" w:eastAsia="zh-CN" w:bidi="ar"/>
              </w:rPr>
              <w:t>零售药店上报相关数据</w:t>
            </w:r>
            <w:r>
              <w:rPr>
                <w:rStyle w:val="33"/>
                <w:rFonts w:hint="eastAsia" w:ascii="宋体" w:hAnsi="宋体" w:cs="宋体"/>
                <w:i w:val="0"/>
                <w:iCs w:val="0"/>
                <w:color w:val="000000"/>
                <w:sz w:val="28"/>
                <w:szCs w:val="28"/>
                <w:highlight w:val="none"/>
                <w:lang w:val="en-US" w:eastAsia="zh-CN" w:bidi="ar"/>
              </w:rPr>
              <w:t>，</w:t>
            </w:r>
            <w:r>
              <w:rPr>
                <w:rStyle w:val="33"/>
                <w:rFonts w:ascii="宋体" w:hAnsi="宋体" w:eastAsia="宋体" w:cs="宋体"/>
                <w:i w:val="0"/>
                <w:iCs w:val="0"/>
                <w:color w:val="000000"/>
                <w:sz w:val="28"/>
                <w:szCs w:val="28"/>
                <w:highlight w:val="none"/>
                <w:lang w:val="en-US" w:eastAsia="zh-CN" w:bidi="ar"/>
              </w:rPr>
              <w:t>辖区医保分局通过国家医保平台后台获取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C-02</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8"/>
                <w:sz w:val="28"/>
                <w:szCs w:val="28"/>
                <w:highlight w:val="none"/>
                <w:lang w:val="en-US" w:eastAsia="zh-CN" w:bidi="ar"/>
              </w:rPr>
              <w:t>【价格管理】</w:t>
            </w:r>
            <w:r>
              <w:rPr>
                <w:rStyle w:val="29"/>
                <w:rFonts w:hint="eastAsia"/>
                <w:sz w:val="28"/>
                <w:szCs w:val="28"/>
                <w:highlight w:val="none"/>
                <w:lang w:val="en-US" w:eastAsia="zh-CN" w:bidi="ar"/>
              </w:rPr>
              <w:t>核查零售药店在市医疗保障经办机构发布受理通知之日前三个连续完整自然月的医保药品量价比较指数（不含协议期内国谈药品、中药饮片以及通过网络销售医保药品），计算该时间段医保药品量价比较指数，按以下规则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·医保药品量价比较指数＜1.2的，得10分;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·1.2≤医保药品量价比较指数＜1.3的，得5分；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·1.3≤医保药品量价比较指数＜1.4的，得3分；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·1.4≤医保药品量价比较指数＜1.5的，得1分；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·医保药品量价比较指数≥1.5的，不得分；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9"/>
                <w:rFonts w:hint="eastAsia"/>
                <w:sz w:val="28"/>
                <w:szCs w:val="28"/>
                <w:highlight w:val="none"/>
                <w:lang w:val="en-US" w:eastAsia="zh-CN" w:bidi="ar"/>
              </w:rPr>
              <w:t>注：前三个连续完整自然月不含市医疗保障经办机构发布受理通知当月。</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hint="eastAsia" w:ascii="宋体" w:hAnsi="宋体" w:eastAsia="宋体" w:cs="宋体"/>
                <w:i w:val="0"/>
                <w:iCs w:val="0"/>
                <w:color w:val="000000"/>
                <w:sz w:val="28"/>
                <w:szCs w:val="28"/>
                <w:highlight w:val="none"/>
                <w:lang w:val="en-US" w:eastAsia="zh-CN" w:bidi="ar"/>
              </w:rPr>
              <w:t>零售药店上报相关数据</w:t>
            </w:r>
            <w:r>
              <w:rPr>
                <w:rStyle w:val="33"/>
                <w:rFonts w:hint="eastAsia" w:ascii="宋体" w:hAnsi="宋体" w:cs="宋体"/>
                <w:i w:val="0"/>
                <w:iCs w:val="0"/>
                <w:color w:val="000000"/>
                <w:sz w:val="28"/>
                <w:szCs w:val="28"/>
                <w:highlight w:val="none"/>
                <w:lang w:val="en-US" w:eastAsia="zh-CN" w:bidi="ar"/>
              </w:rPr>
              <w:t>，辖区</w:t>
            </w:r>
            <w:r>
              <w:rPr>
                <w:rStyle w:val="33"/>
                <w:rFonts w:hint="eastAsia" w:ascii="宋体" w:hAnsi="宋体" w:eastAsia="宋体" w:cs="宋体"/>
                <w:i w:val="0"/>
                <w:iCs w:val="0"/>
                <w:color w:val="000000"/>
                <w:sz w:val="28"/>
                <w:szCs w:val="28"/>
                <w:highlight w:val="none"/>
                <w:lang w:val="en-US" w:eastAsia="zh-CN" w:bidi="ar"/>
              </w:rPr>
              <w:t>医保分局通过医药价格监测服务系统获取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宋体" w:eastAsia="仿宋_GB2312" w:cs="仿宋_GB2312"/>
                <w:i w:val="0"/>
                <w:iCs w:val="0"/>
                <w:color w:val="000000"/>
                <w:sz w:val="28"/>
                <w:szCs w:val="28"/>
                <w:highlight w:val="none"/>
                <w:u w:val="none"/>
              </w:rPr>
            </w:pPr>
            <w:r>
              <w:rPr>
                <w:rFonts w:hint="eastAsia" w:ascii="仿宋_GB2312" w:hAnsi="宋体" w:eastAsia="仿宋_GB2312" w:cs="仿宋_GB2312"/>
                <w:i w:val="0"/>
                <w:iCs w:val="0"/>
                <w:color w:val="000000"/>
                <w:kern w:val="0"/>
                <w:sz w:val="28"/>
                <w:szCs w:val="28"/>
                <w:highlight w:val="none"/>
                <w:u w:val="none"/>
                <w:lang w:val="en-US" w:eastAsia="zh-CN" w:bidi="ar"/>
              </w:rPr>
              <w:t>C-03</w:t>
            </w: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8"/>
                <w:szCs w:val="28"/>
                <w:highlight w:val="none"/>
                <w:u w:val="none"/>
              </w:rPr>
            </w:pPr>
          </w:p>
        </w:tc>
        <w:tc>
          <w:tcPr>
            <w:tcW w:w="2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8"/>
                <w:sz w:val="28"/>
                <w:szCs w:val="28"/>
                <w:highlight w:val="none"/>
                <w:lang w:val="en-US" w:eastAsia="zh-CN" w:bidi="ar"/>
              </w:rPr>
              <w:t>【药品配备】</w:t>
            </w:r>
            <w:r>
              <w:rPr>
                <w:rStyle w:val="29"/>
                <w:rFonts w:hint="eastAsia"/>
                <w:sz w:val="28"/>
                <w:szCs w:val="28"/>
                <w:highlight w:val="none"/>
                <w:lang w:val="en-US" w:eastAsia="zh-CN" w:bidi="ar"/>
              </w:rPr>
              <w:t>规范配备“双通道”药品的（不包括中药饮片和中药配方颗粒）能力（同品规视为一种）计分：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·配备10种≤数量＜20种的，得2分；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·配备20种≤数量＜30种的，得4分；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·配备30种≤数量＜40种的，得6分；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·配备40种≤数量＜50种的，得8分；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9"/>
                <w:rFonts w:hint="eastAsia"/>
                <w:sz w:val="28"/>
                <w:szCs w:val="28"/>
                <w:highlight w:val="none"/>
                <w:lang w:val="en-US" w:eastAsia="zh-CN" w:bidi="ar"/>
              </w:rPr>
            </w:pPr>
            <w:r>
              <w:rPr>
                <w:rStyle w:val="29"/>
                <w:rFonts w:hint="eastAsia"/>
                <w:sz w:val="28"/>
                <w:szCs w:val="28"/>
                <w:highlight w:val="none"/>
                <w:lang w:val="en-US" w:eastAsia="zh-CN" w:bidi="ar"/>
              </w:rPr>
              <w:t>·配备数量≥50种或配备独家授权的国家谈判药品的，得10分。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8"/>
                <w:szCs w:val="28"/>
                <w:highlight w:val="none"/>
                <w:u w:val="none"/>
              </w:rPr>
            </w:pPr>
            <w:r>
              <w:rPr>
                <w:rStyle w:val="29"/>
                <w:rFonts w:hint="eastAsia"/>
                <w:sz w:val="28"/>
                <w:szCs w:val="28"/>
                <w:highlight w:val="none"/>
                <w:lang w:val="en-US" w:eastAsia="zh-CN" w:bidi="ar"/>
              </w:rPr>
              <w:t>注：可通过核验药品的随货同行单、发票等票据确认配备真实性。</w:t>
            </w:r>
          </w:p>
        </w:tc>
        <w:tc>
          <w:tcPr>
            <w:tcW w:w="21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28"/>
                <w:sz w:val="28"/>
                <w:szCs w:val="28"/>
                <w:highlight w:val="none"/>
                <w:lang w:val="en-US" w:eastAsia="zh-CN" w:bidi="ar"/>
              </w:rPr>
            </w:pPr>
            <w:r>
              <w:rPr>
                <w:rStyle w:val="33"/>
                <w:rFonts w:ascii="宋体" w:hAnsi="宋体" w:cs="宋体"/>
                <w:i w:val="0"/>
                <w:iCs w:val="0"/>
                <w:color w:val="000000"/>
                <w:sz w:val="28"/>
                <w:szCs w:val="28"/>
                <w:highlight w:val="none"/>
                <w:lang w:val="en-US" w:eastAsia="zh-CN" w:bidi="ar"/>
              </w:rPr>
              <w:t>零售药店</w:t>
            </w:r>
            <w:r>
              <w:rPr>
                <w:rStyle w:val="33"/>
                <w:rFonts w:ascii="宋体" w:hAnsi="宋体" w:eastAsia="宋体" w:cs="宋体"/>
                <w:i w:val="0"/>
                <w:iCs w:val="0"/>
                <w:color w:val="000000"/>
                <w:sz w:val="28"/>
                <w:szCs w:val="28"/>
                <w:highlight w:val="none"/>
                <w:lang w:val="en-US" w:eastAsia="zh-CN" w:bidi="ar"/>
              </w:rPr>
              <w:t>提供</w:t>
            </w:r>
            <w:r>
              <w:rPr>
                <w:rStyle w:val="33"/>
                <w:rFonts w:ascii="宋体" w:hAnsi="宋体" w:cs="宋体"/>
                <w:i w:val="0"/>
                <w:iCs w:val="0"/>
                <w:color w:val="000000"/>
                <w:sz w:val="28"/>
                <w:szCs w:val="28"/>
                <w:highlight w:val="none"/>
                <w:lang w:val="en-US" w:eastAsia="zh-CN" w:bidi="ar"/>
              </w:rPr>
              <w:t>药品配备</w:t>
            </w:r>
            <w:r>
              <w:rPr>
                <w:rStyle w:val="33"/>
                <w:rFonts w:ascii="宋体" w:hAnsi="宋体" w:eastAsia="宋体" w:cs="宋体"/>
                <w:i w:val="0"/>
                <w:iCs w:val="0"/>
                <w:color w:val="000000"/>
                <w:sz w:val="28"/>
                <w:szCs w:val="28"/>
                <w:highlight w:val="none"/>
                <w:lang w:val="en-US" w:eastAsia="zh-CN" w:bidi="ar"/>
              </w:rPr>
              <w:t>列表及照片，辖区医保分局核算，必要时现场核查</w:t>
            </w:r>
          </w:p>
        </w:tc>
      </w:tr>
    </w:tbl>
    <w:p>
      <w:pPr>
        <w:keepNext w:val="0"/>
        <w:keepLines w:val="0"/>
        <w:pageBreakBefore w:val="0"/>
        <w:widowControl w:val="0"/>
        <w:kinsoku/>
        <w:wordWrap/>
        <w:overflowPunct/>
        <w:topLinePunct w:val="0"/>
        <w:autoSpaceDE/>
        <w:autoSpaceDN/>
        <w:bidi w:val="0"/>
        <w:adjustRightInd/>
        <w:snapToGrid/>
        <w:spacing w:line="300" w:lineRule="exact"/>
        <w:textAlignment w:val="auto"/>
        <w:rPr>
          <w:rStyle w:val="30"/>
          <w:sz w:val="24"/>
          <w:szCs w:val="24"/>
          <w:highlight w:val="none"/>
          <w:lang w:val="en-US" w:eastAsia="zh-CN" w:bidi="ar"/>
        </w:rPr>
      </w:pPr>
      <w:r>
        <w:rPr>
          <w:rStyle w:val="30"/>
          <w:sz w:val="24"/>
          <w:szCs w:val="24"/>
          <w:highlight w:val="none"/>
          <w:lang w:val="en-US" w:eastAsia="zh-CN" w:bidi="ar"/>
        </w:rPr>
        <w:t>说明：</w:t>
      </w:r>
    </w:p>
    <w:p>
      <w:pPr>
        <w:rPr>
          <w:rFonts w:hint="default"/>
          <w:highlight w:val="none"/>
          <w:lang w:val="en-US" w:eastAsia="zh-CN"/>
        </w:rPr>
      </w:pPr>
      <w:r>
        <w:rPr>
          <w:rStyle w:val="31"/>
          <w:rFonts w:hint="eastAsia"/>
          <w:b w:val="0"/>
          <w:bCs w:val="0"/>
          <w:sz w:val="24"/>
          <w:szCs w:val="24"/>
          <w:highlight w:val="none"/>
          <w:lang w:val="en-US" w:eastAsia="zh-CN" w:bidi="ar"/>
        </w:rPr>
        <w:t>1</w:t>
      </w:r>
      <w:r>
        <w:rPr>
          <w:rStyle w:val="31"/>
          <w:b w:val="0"/>
          <w:bCs w:val="0"/>
          <w:sz w:val="24"/>
          <w:szCs w:val="24"/>
          <w:highlight w:val="none"/>
          <w:lang w:val="en-US" w:eastAsia="zh-CN" w:bidi="ar"/>
        </w:rPr>
        <w:t>.【计分结果】</w:t>
      </w:r>
      <w:r>
        <w:rPr>
          <w:rStyle w:val="30"/>
          <w:b w:val="0"/>
          <w:bCs w:val="0"/>
          <w:sz w:val="24"/>
          <w:szCs w:val="24"/>
          <w:highlight w:val="none"/>
          <w:lang w:val="en-US" w:eastAsia="zh-CN" w:bidi="ar"/>
        </w:rPr>
        <w:t>根</w:t>
      </w:r>
      <w:r>
        <w:rPr>
          <w:rStyle w:val="30"/>
          <w:sz w:val="24"/>
          <w:szCs w:val="24"/>
          <w:highlight w:val="none"/>
          <w:lang w:val="en-US" w:eastAsia="zh-CN" w:bidi="ar"/>
        </w:rPr>
        <w:t>据本综合条件评估规则，评估满分为100分，由基础配置、服务质量与服务能力三个分项组成。</w:t>
      </w:r>
      <w:r>
        <w:rPr>
          <w:rStyle w:val="30"/>
          <w:rFonts w:hint="eastAsia"/>
          <w:sz w:val="24"/>
          <w:szCs w:val="24"/>
          <w:highlight w:val="none"/>
          <w:lang w:val="en-US" w:eastAsia="zh-CN" w:bidi="ar"/>
        </w:rPr>
        <w:t>新申请的零售药店与社区内存量定点零售药店均需参与本指标统一评估。各零售药店评估总分相同情况下，按照执业药师分数高者优、服务质量分数高者优、服务能力分数高者优，医保药品量价比较指数低者优，依序择优确定合格对象。</w:t>
      </w:r>
      <w:r>
        <w:rPr>
          <w:rStyle w:val="30"/>
          <w:sz w:val="24"/>
          <w:szCs w:val="24"/>
          <w:highlight w:val="none"/>
          <w:lang w:val="en-US" w:eastAsia="zh-CN" w:bidi="ar"/>
        </w:rPr>
        <w:br w:type="textWrapping"/>
      </w:r>
      <w:r>
        <w:rPr>
          <w:rStyle w:val="30"/>
          <w:rFonts w:hint="eastAsia"/>
          <w:sz w:val="24"/>
          <w:szCs w:val="24"/>
          <w:highlight w:val="none"/>
          <w:lang w:val="en-US" w:eastAsia="zh-CN" w:bidi="ar"/>
        </w:rPr>
        <w:t>2</w:t>
      </w:r>
      <w:r>
        <w:rPr>
          <w:rStyle w:val="30"/>
          <w:sz w:val="24"/>
          <w:szCs w:val="24"/>
          <w:highlight w:val="none"/>
          <w:lang w:val="en-US" w:eastAsia="zh-CN" w:bidi="ar"/>
        </w:rPr>
        <w:t>.【诚实信用】</w:t>
      </w:r>
      <w:r>
        <w:rPr>
          <w:rFonts w:hint="eastAsia" w:ascii="黑体" w:hAnsi="宋体" w:eastAsia="黑体" w:cs="黑体"/>
          <w:i w:val="0"/>
          <w:iCs w:val="0"/>
          <w:color w:val="000000"/>
          <w:kern w:val="0"/>
          <w:sz w:val="24"/>
          <w:szCs w:val="24"/>
          <w:highlight w:val="none"/>
          <w:u w:val="none"/>
          <w:lang w:val="en-US" w:eastAsia="zh-CN" w:bidi="ar"/>
        </w:rPr>
        <w:t>现场核查情况与零售药店提供材料不符的，</w:t>
      </w:r>
      <w:r>
        <w:rPr>
          <w:rStyle w:val="30"/>
          <w:rFonts w:hint="eastAsia"/>
          <w:sz w:val="24"/>
          <w:szCs w:val="24"/>
          <w:highlight w:val="none"/>
          <w:lang w:val="en-US" w:eastAsia="zh-CN" w:bidi="ar"/>
        </w:rPr>
        <w:t>该指标不得分；经核实存在以弄虚作假等不正当手段申请定点，评估总分为0分，并自发现之日起3年内不得申请医保定点。</w:t>
      </w:r>
      <w:r>
        <w:rPr>
          <w:rStyle w:val="30"/>
          <w:sz w:val="24"/>
          <w:szCs w:val="24"/>
          <w:highlight w:val="none"/>
          <w:lang w:val="en-US" w:eastAsia="zh-CN" w:bidi="ar"/>
        </w:rPr>
        <w:br w:type="textWrapping"/>
      </w:r>
    </w:p>
    <w:p>
      <w:pPr>
        <w:pStyle w:val="2"/>
        <w:rPr>
          <w:rFonts w:hint="default"/>
          <w:highlight w:val="none"/>
          <w:lang w:val="en-US" w:eastAsia="zh-CN"/>
        </w:rPr>
      </w:pPr>
    </w:p>
    <w:p>
      <w:pPr>
        <w:rPr>
          <w:rFonts w:hint="default"/>
          <w:highlight w:val="none"/>
          <w:lang w:val="en-US" w:eastAsia="zh-CN"/>
        </w:rPr>
      </w:pPr>
    </w:p>
    <w:p>
      <w:pPr>
        <w:pStyle w:val="2"/>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2"/>
        <w:rPr>
          <w:rFonts w:hint="default"/>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附件7</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（一）零售药店签约所需携带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eastAsia="zh-CN"/>
        </w:rPr>
        <w:t>企业公章（证照名称</w:t>
      </w:r>
      <w:r>
        <w:rPr>
          <w:rFonts w:hint="eastAsia" w:ascii="仿宋_GB2312" w:hAnsi="仿宋_GB2312" w:eastAsia="仿宋_GB2312" w:cs="仿宋_GB2312"/>
          <w:color w:val="auto"/>
          <w:sz w:val="32"/>
          <w:szCs w:val="32"/>
          <w:highlight w:val="none"/>
          <w:lang w:val="en-US" w:eastAsia="zh-CN"/>
        </w:rPr>
        <w:t>须</w:t>
      </w:r>
      <w:r>
        <w:rPr>
          <w:rFonts w:hint="eastAsia"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en-US" w:eastAsia="zh-CN"/>
        </w:rPr>
        <w:t>申请机构为分支机构的，须携带所属机构公章</w:t>
      </w:r>
      <w:r>
        <w:rPr>
          <w:rFonts w:hint="eastAsia"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eastAsia="zh-CN"/>
        </w:rPr>
        <w:t>《营业执照》（验原件，收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 xml:space="preserve">复印件）；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eastAsia="zh-CN"/>
        </w:rPr>
        <w:t>《药品经营许可证》（验原件，收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eastAsia="zh-CN"/>
        </w:rPr>
        <w:t>《药品经营质量管理规范认证证书》（</w:t>
      </w:r>
      <w:r>
        <w:rPr>
          <w:rFonts w:hint="eastAsia" w:ascii="仿宋_GB2312" w:hAnsi="仿宋_GB2312" w:eastAsia="仿宋_GB2312" w:cs="仿宋_GB2312"/>
          <w:color w:val="auto"/>
          <w:sz w:val="32"/>
          <w:szCs w:val="32"/>
          <w:highlight w:val="none"/>
          <w:lang w:val="en-US" w:eastAsia="zh-CN"/>
        </w:rPr>
        <w:t>2019年12月1日后设立的零售药店无需提供，</w:t>
      </w:r>
      <w:r>
        <w:rPr>
          <w:rFonts w:hint="eastAsia"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eastAsia" w:ascii="仿宋_GB2312" w:hAnsi="仿宋_GB2312" w:eastAsia="仿宋_GB2312" w:cs="仿宋_GB2312"/>
          <w:color w:val="auto"/>
          <w:sz w:val="32"/>
          <w:szCs w:val="32"/>
          <w:highlight w:val="none"/>
          <w:lang w:val="zh-CN" w:eastAsia="zh-CN"/>
        </w:rPr>
        <w:t>人身份证（</w:t>
      </w:r>
      <w:r>
        <w:rPr>
          <w:rFonts w:hint="default" w:ascii="仿宋_GB2312" w:hAnsi="仿宋_GB2312" w:eastAsia="仿宋_GB2312" w:cs="仿宋_GB2312"/>
          <w:color w:val="auto"/>
          <w:sz w:val="32"/>
          <w:szCs w:val="32"/>
          <w:highlight w:val="none"/>
          <w:lang w:val="zh-CN" w:eastAsia="zh-CN"/>
        </w:rPr>
        <w:t>申请机构为分支机构的须携带所属机构法人身份证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eastAsia"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zh-CN" w:eastAsia="zh-CN" w:bidi="ar-SA"/>
        </w:rPr>
        <w:t>1.连锁药店等有所属机构的新增机构，需同时提供本机构和所属机构的证照；</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市医保中心采取公开招标的方式确定数安时代科技股份有限公司（以下简称“广东CA”）为我市定零售药店办理单位和个人电子公共服务数字证书（以下简称“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已经通过公示待签约的零售药店</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零售药店在北京数字认证股份有限公司、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零售药店在公示期结束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拟首次签约的新增定点零售药店，为本市定点零售药店的下属机构的，由所属机构在协同平台为其签约；为独立法人机构的，在主要信息变更功能完成维护所属机构后发起签约申请。</w:t>
      </w:r>
    </w:p>
    <w:p>
      <w:pPr>
        <w:pStyle w:val="9"/>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9"/>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3"/>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keepNext w:val="0"/>
        <w:keepLines w:val="0"/>
        <w:pageBreakBefore w:val="0"/>
        <w:kinsoku/>
        <w:wordWrap w:val="0"/>
        <w:overflowPunct/>
        <w:topLinePunct w:val="0"/>
        <w:bidi w:val="0"/>
        <w:snapToGrid/>
        <w:spacing w:line="560" w:lineRule="atLeast"/>
        <w:jc w:val="both"/>
        <w:textAlignment w:val="auto"/>
        <w:outlineLvl w:val="9"/>
        <w:rPr>
          <w:rFonts w:hint="default"/>
          <w:color w:val="auto"/>
          <w:highlight w:val="none"/>
          <w:lang w:val="en-US"/>
        </w:rPr>
      </w:pPr>
    </w:p>
    <w:p>
      <w:pPr>
        <w:pStyle w:val="9"/>
        <w:rPr>
          <w:rFonts w:hint="default"/>
          <w:color w:val="auto"/>
          <w:highlight w:val="none"/>
          <w:lang w:val="en-US"/>
        </w:rPr>
      </w:pPr>
    </w:p>
    <w:p>
      <w:pPr>
        <w:pStyle w:val="4"/>
        <w:rPr>
          <w:rFonts w:hint="default"/>
          <w:color w:val="auto"/>
          <w:highlight w:val="none"/>
          <w:lang w:val="en-US"/>
        </w:rPr>
      </w:pPr>
    </w:p>
    <w:p>
      <w:pPr>
        <w:rPr>
          <w:rFonts w:hint="default"/>
          <w:color w:val="auto"/>
          <w:highlight w:val="none"/>
          <w:lang w:val="en-US"/>
        </w:rPr>
      </w:pPr>
    </w:p>
    <w:p>
      <w:pPr>
        <w:pStyle w:val="9"/>
        <w:rPr>
          <w:rFonts w:hint="default"/>
          <w:color w:val="auto"/>
          <w:highlight w:val="none"/>
          <w:lang w:val="en-US"/>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附件8</w:t>
      </w:r>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定点零售药店应在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附件8</w:t>
      </w:r>
      <w:bookmarkStart w:id="2" w:name="_GoBack"/>
      <w:bookmarkEnd w:id="2"/>
      <w:r>
        <w:rPr>
          <w:rFonts w:hint="eastAsia" w:ascii="仿宋_GB2312" w:hAnsi="仿宋_GB2312" w:eastAsia="仿宋_GB2312" w:cs="仿宋_GB2312"/>
          <w:color w:val="auto"/>
          <w:kern w:val="0"/>
          <w:sz w:val="32"/>
          <w:szCs w:val="32"/>
          <w:highlight w:val="none"/>
          <w:lang w:val="en-US" w:eastAsia="zh-CN"/>
        </w:rPr>
        <w:t>-1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根据医保结算业务要求，定点零售药店完善所属机构信息后方可支付其他医保记账费用。为正常支付医保记账费用，</w:t>
      </w:r>
      <w:r>
        <w:rPr>
          <w:rFonts w:hint="eastAsia" w:ascii="仿宋_GB2312" w:hAnsi="仿宋_GB2312" w:eastAsia="仿宋_GB2312" w:cs="仿宋_GB2312"/>
          <w:color w:val="auto"/>
          <w:sz w:val="32"/>
          <w:szCs w:val="32"/>
          <w:highlight w:val="none"/>
          <w:lang w:val="en-US" w:eastAsia="zh-CN"/>
        </w:rPr>
        <w:t>各新增定点零售药店应及时申请完善所属机构信息。如因未及时完善相关信息导致月结费用无法及时拨付，后果自行承担。</w:t>
      </w:r>
    </w:p>
    <w:p>
      <w:pPr>
        <w:keepNext w:val="0"/>
        <w:keepLines w:val="0"/>
        <w:pageBreakBefore w:val="0"/>
        <w:widowControl w:val="0"/>
        <w:kinsoku/>
        <w:wordWrap/>
        <w:overflowPunct/>
        <w:topLinePunct w:val="0"/>
        <w:bidi w:val="0"/>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若新增定点零售药店为本市医保定点的医药公司的分支机构，其所属机构为医药公司名称和机构代码。若新增定点零售药店无负有医保管理职责的总部机构，其所属机构为本机构药店名称和机构代码。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前台受理管理-现场受理管理-主要信息变更，由辖区医保分局审核。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新增定点零售药店使用读卡控件进行读卡，需连接医保专网，通过由医保平台提供的SSCard.dll动态库进行解密，获取医保卡信息返回给使用者。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零售药店开通医保记账后，国家医保平台智能监管系统将每日下发日审异常医保记账数据，各定点零售药店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附件8-2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（五）进驻“深医保”移动工作平台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（六）建设医保服务e站</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（七）悬挂医保定点标识标牌</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附件8-1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定点零售药店新增协议信息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【药店维护】-【零售药店定点协议管理】，进入定点协议页面。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第一步</w:t>
      </w:r>
      <w:r>
        <w:rPr>
          <w:rFonts w:hint="eastAsia" w:ascii="仿宋_GB2312" w:hAnsi="仿宋_GB2312" w:eastAsia="仿宋_GB2312" w:cs="仿宋_GB2312"/>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点击【新增协议】（如图1-1），确认零售药店，点击【选择】（如图1-2）。</w:t>
      </w:r>
    </w:p>
    <w:p>
      <w:pPr>
        <w:jc w:val="left"/>
        <w:rPr>
          <w:highlight w:val="none"/>
        </w:rPr>
      </w:pPr>
      <w:r>
        <w:rPr>
          <w:highlight w:val="none"/>
        </w:rPr>
        <w:drawing>
          <wp:inline distT="0" distB="0" distL="114300" distR="114300">
            <wp:extent cx="5673725" cy="1581150"/>
            <wp:effectExtent l="0" t="0" r="10795" b="381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6"/>
                    <a:stretch>
                      <a:fillRect/>
                    </a:stretch>
                  </pic:blipFill>
                  <pic:spPr>
                    <a:xfrm>
                      <a:off x="0" y="0"/>
                      <a:ext cx="5673725" cy="158115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图1-1</w:t>
      </w:r>
    </w:p>
    <w:p>
      <w:pPr>
        <w:jc w:val="left"/>
        <w:rPr>
          <w:highlight w:val="none"/>
        </w:rPr>
      </w:pPr>
      <w:r>
        <w:rPr>
          <w:highlight w:val="none"/>
        </w:rPr>
        <w:drawing>
          <wp:inline distT="0" distB="0" distL="114300" distR="114300">
            <wp:extent cx="5680710" cy="2276475"/>
            <wp:effectExtent l="0" t="0" r="3810" b="9525"/>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27"/>
                    <a:stretch>
                      <a:fillRect/>
                    </a:stretch>
                  </pic:blipFill>
                  <pic:spPr>
                    <a:xfrm>
                      <a:off x="0" y="0"/>
                      <a:ext cx="5680710" cy="2276475"/>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第二步</w:t>
      </w:r>
      <w:r>
        <w:rPr>
          <w:rFonts w:hint="eastAsia" w:ascii="仿宋_GB2312" w:hAnsi="仿宋_GB2312" w:eastAsia="仿宋_GB2312" w:cs="仿宋_GB2312"/>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协议服务范围：本地个人账户、本地其他。（异地个人账户、异地其他按实际情况勾选）。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定点零售药店服务协议书电子档案：上传已签订协议书的扫描件或线上签约的电子协议书PDF文件。</w:t>
      </w:r>
    </w:p>
    <w:p>
      <w:pPr>
        <w:jc w:val="left"/>
        <w:rPr>
          <w:highlight w:val="none"/>
        </w:rPr>
      </w:pPr>
      <w:r>
        <w:rPr>
          <w:highlight w:val="none"/>
        </w:rPr>
        <w:drawing>
          <wp:inline distT="0" distB="0" distL="114300" distR="114300">
            <wp:extent cx="5685790" cy="2589530"/>
            <wp:effectExtent l="0" t="0" r="13970" b="1270"/>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28"/>
                    <a:stretch>
                      <a:fillRect/>
                    </a:stretch>
                  </pic:blipFill>
                  <pic:spPr>
                    <a:xfrm>
                      <a:off x="0" y="0"/>
                      <a:ext cx="5685790" cy="258953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b/>
          <w:bCs/>
          <w:sz w:val="32"/>
          <w:szCs w:val="32"/>
          <w:highlight w:val="none"/>
          <w:lang w:val="en" w:eastAsia="zh-CN"/>
        </w:rPr>
      </w:pPr>
      <w:r>
        <w:rPr>
          <w:rFonts w:hint="eastAsia" w:ascii="仿宋_GB2312" w:hAnsi="仿宋_GB2312" w:eastAsia="仿宋_GB2312" w:cs="仿宋_GB2312"/>
          <w:b/>
          <w:bCs/>
          <w:sz w:val="32"/>
          <w:szCs w:val="32"/>
          <w:highlight w:val="none"/>
          <w:lang w:val="en" w:eastAsia="zh-CN"/>
        </w:rPr>
        <w:t>线上签约协议书下载方法：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drawing>
          <wp:inline distT="0" distB="0" distL="114300" distR="114300">
            <wp:extent cx="5256530" cy="2448560"/>
            <wp:effectExtent l="0" t="0" r="1270" b="5080"/>
            <wp:docPr id="22" name="图片 19"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C:\Users\78512\Desktop\附件8-2.png附件8-2"/>
                    <pic:cNvPicPr>
                      <a:picLocks noChangeAspect="1"/>
                    </pic:cNvPicPr>
                  </pic:nvPicPr>
                  <pic:blipFill>
                    <a:blip r:embed="rId29"/>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bidi="ar-SA"/>
        </w:rPr>
        <w:t>图1-4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第三步</w:t>
      </w:r>
      <w:r>
        <w:rPr>
          <w:rFonts w:hint="eastAsia" w:ascii="仿宋_GB2312" w:hAnsi="仿宋_GB2312" w:eastAsia="仿宋_GB2312" w:cs="仿宋_GB2312"/>
          <w:sz w:val="32"/>
          <w:szCs w:val="32"/>
          <w:highlight w:val="none"/>
          <w:lang w:val="en-US" w:eastAsia="zh-CN"/>
        </w:rPr>
        <w:t>：点击【保存】，待所属分局审核，请关注审核进度。</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附件8-2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2"/>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0"/>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1"/>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2"/>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59264"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33"/>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34"/>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35"/>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36"/>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37"/>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38"/>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39"/>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0"/>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1"/>
                    <a:stretch>
                      <a:fillRect/>
                    </a:stretch>
                  </pic:blipFill>
                  <pic:spPr>
                    <a:xfrm>
                      <a:off x="0" y="0"/>
                      <a:ext cx="5271770" cy="243967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E3B70"/>
    <w:rsid w:val="003F20C8"/>
    <w:rsid w:val="0040196F"/>
    <w:rsid w:val="004A165D"/>
    <w:rsid w:val="005A76EE"/>
    <w:rsid w:val="008C1871"/>
    <w:rsid w:val="008C73E5"/>
    <w:rsid w:val="00AB6A36"/>
    <w:rsid w:val="00B215C8"/>
    <w:rsid w:val="00CD63F3"/>
    <w:rsid w:val="010F224A"/>
    <w:rsid w:val="0132669F"/>
    <w:rsid w:val="01644AB6"/>
    <w:rsid w:val="0193633E"/>
    <w:rsid w:val="01AB7EFD"/>
    <w:rsid w:val="01AC56A1"/>
    <w:rsid w:val="01C14CF4"/>
    <w:rsid w:val="01C725F7"/>
    <w:rsid w:val="01EF3980"/>
    <w:rsid w:val="01F01E3C"/>
    <w:rsid w:val="01FE3350"/>
    <w:rsid w:val="021C1E1B"/>
    <w:rsid w:val="021D0BDF"/>
    <w:rsid w:val="02567E5F"/>
    <w:rsid w:val="02672314"/>
    <w:rsid w:val="02913114"/>
    <w:rsid w:val="02991BB8"/>
    <w:rsid w:val="029F14CA"/>
    <w:rsid w:val="02A467F2"/>
    <w:rsid w:val="02DA30E7"/>
    <w:rsid w:val="02DC70A9"/>
    <w:rsid w:val="02E1151B"/>
    <w:rsid w:val="02EE59E6"/>
    <w:rsid w:val="032E5BBC"/>
    <w:rsid w:val="033426EB"/>
    <w:rsid w:val="037F6757"/>
    <w:rsid w:val="03890D6F"/>
    <w:rsid w:val="038D51CB"/>
    <w:rsid w:val="039D2433"/>
    <w:rsid w:val="03DB75BC"/>
    <w:rsid w:val="040232F2"/>
    <w:rsid w:val="040532EE"/>
    <w:rsid w:val="040A7467"/>
    <w:rsid w:val="045B14A6"/>
    <w:rsid w:val="046C16AF"/>
    <w:rsid w:val="04B95E1B"/>
    <w:rsid w:val="04DD5C4D"/>
    <w:rsid w:val="04F7112F"/>
    <w:rsid w:val="05370806"/>
    <w:rsid w:val="05441D1A"/>
    <w:rsid w:val="05922FA0"/>
    <w:rsid w:val="05FE23E4"/>
    <w:rsid w:val="061D4115"/>
    <w:rsid w:val="062E2834"/>
    <w:rsid w:val="06306035"/>
    <w:rsid w:val="06462747"/>
    <w:rsid w:val="06A52D74"/>
    <w:rsid w:val="06C33D3B"/>
    <w:rsid w:val="06D14A9E"/>
    <w:rsid w:val="06FE1A0B"/>
    <w:rsid w:val="07027CB2"/>
    <w:rsid w:val="070A631C"/>
    <w:rsid w:val="070C307C"/>
    <w:rsid w:val="070D3A1D"/>
    <w:rsid w:val="073F33EF"/>
    <w:rsid w:val="076F023F"/>
    <w:rsid w:val="077E2A57"/>
    <w:rsid w:val="079F0915"/>
    <w:rsid w:val="07CD41D0"/>
    <w:rsid w:val="07DE1B77"/>
    <w:rsid w:val="085B49C4"/>
    <w:rsid w:val="085E3E8A"/>
    <w:rsid w:val="08674291"/>
    <w:rsid w:val="08D00067"/>
    <w:rsid w:val="08D062B9"/>
    <w:rsid w:val="08D546EF"/>
    <w:rsid w:val="08E7696B"/>
    <w:rsid w:val="090E5D45"/>
    <w:rsid w:val="093B368D"/>
    <w:rsid w:val="09816CC9"/>
    <w:rsid w:val="09841782"/>
    <w:rsid w:val="099D4E0E"/>
    <w:rsid w:val="09D84143"/>
    <w:rsid w:val="09FA7600"/>
    <w:rsid w:val="0A0247DB"/>
    <w:rsid w:val="0A471C27"/>
    <w:rsid w:val="0A623983"/>
    <w:rsid w:val="0A814349"/>
    <w:rsid w:val="0A831431"/>
    <w:rsid w:val="0AE85263"/>
    <w:rsid w:val="0B00605F"/>
    <w:rsid w:val="0B4D1B74"/>
    <w:rsid w:val="0B5346A2"/>
    <w:rsid w:val="0B9A1D57"/>
    <w:rsid w:val="0B9E129E"/>
    <w:rsid w:val="0BCA2B31"/>
    <w:rsid w:val="0BCB51A1"/>
    <w:rsid w:val="0C3A5636"/>
    <w:rsid w:val="0C9336AD"/>
    <w:rsid w:val="0CBA4B8C"/>
    <w:rsid w:val="0CC0209E"/>
    <w:rsid w:val="0CC56B02"/>
    <w:rsid w:val="0D3A4B8E"/>
    <w:rsid w:val="0DA16212"/>
    <w:rsid w:val="0DBC78D8"/>
    <w:rsid w:val="0DEF74E9"/>
    <w:rsid w:val="0DF668F5"/>
    <w:rsid w:val="0E48771C"/>
    <w:rsid w:val="0E4D3765"/>
    <w:rsid w:val="0E623A18"/>
    <w:rsid w:val="0E9D69A2"/>
    <w:rsid w:val="0EB2020F"/>
    <w:rsid w:val="0EB60EDD"/>
    <w:rsid w:val="0F0E0BAD"/>
    <w:rsid w:val="0F3E313D"/>
    <w:rsid w:val="0F524C56"/>
    <w:rsid w:val="0F63574C"/>
    <w:rsid w:val="0F764CFC"/>
    <w:rsid w:val="0F7B3892"/>
    <w:rsid w:val="0F7D6986"/>
    <w:rsid w:val="0FC11959"/>
    <w:rsid w:val="0FE96B90"/>
    <w:rsid w:val="103024F0"/>
    <w:rsid w:val="103D58C9"/>
    <w:rsid w:val="105421D6"/>
    <w:rsid w:val="105D288F"/>
    <w:rsid w:val="10C15808"/>
    <w:rsid w:val="10D11355"/>
    <w:rsid w:val="10E179FB"/>
    <w:rsid w:val="10F1115B"/>
    <w:rsid w:val="11A8684D"/>
    <w:rsid w:val="11A93FF4"/>
    <w:rsid w:val="11B03C20"/>
    <w:rsid w:val="11B4471C"/>
    <w:rsid w:val="11BC3D26"/>
    <w:rsid w:val="12044A53"/>
    <w:rsid w:val="123C724D"/>
    <w:rsid w:val="124318AA"/>
    <w:rsid w:val="12633CFA"/>
    <w:rsid w:val="12EC1AAA"/>
    <w:rsid w:val="130F7E50"/>
    <w:rsid w:val="137E6B56"/>
    <w:rsid w:val="13CA3E07"/>
    <w:rsid w:val="13E10C14"/>
    <w:rsid w:val="14074247"/>
    <w:rsid w:val="140B3756"/>
    <w:rsid w:val="141179E4"/>
    <w:rsid w:val="145B12A4"/>
    <w:rsid w:val="149E04C8"/>
    <w:rsid w:val="14DB7F08"/>
    <w:rsid w:val="14E55858"/>
    <w:rsid w:val="152739BF"/>
    <w:rsid w:val="153B3073"/>
    <w:rsid w:val="154A2FFE"/>
    <w:rsid w:val="156B6B5D"/>
    <w:rsid w:val="15811A32"/>
    <w:rsid w:val="15A77A54"/>
    <w:rsid w:val="15CC150A"/>
    <w:rsid w:val="15D6641B"/>
    <w:rsid w:val="15DB6743"/>
    <w:rsid w:val="15F2316C"/>
    <w:rsid w:val="16276B81"/>
    <w:rsid w:val="162B4831"/>
    <w:rsid w:val="16386A6E"/>
    <w:rsid w:val="16400D80"/>
    <w:rsid w:val="16753471"/>
    <w:rsid w:val="1690552C"/>
    <w:rsid w:val="16F35FEA"/>
    <w:rsid w:val="174309E2"/>
    <w:rsid w:val="17A77336"/>
    <w:rsid w:val="17B10698"/>
    <w:rsid w:val="17B7378B"/>
    <w:rsid w:val="17BE0504"/>
    <w:rsid w:val="17E2700D"/>
    <w:rsid w:val="17E63C0E"/>
    <w:rsid w:val="17EC08AA"/>
    <w:rsid w:val="17F06755"/>
    <w:rsid w:val="187D7C87"/>
    <w:rsid w:val="189E404F"/>
    <w:rsid w:val="18A20777"/>
    <w:rsid w:val="18A254E0"/>
    <w:rsid w:val="18B71F02"/>
    <w:rsid w:val="19091420"/>
    <w:rsid w:val="190C432E"/>
    <w:rsid w:val="19284C7E"/>
    <w:rsid w:val="19606756"/>
    <w:rsid w:val="19C61A45"/>
    <w:rsid w:val="1A056123"/>
    <w:rsid w:val="1A1014FB"/>
    <w:rsid w:val="1A275FE8"/>
    <w:rsid w:val="1A4705D2"/>
    <w:rsid w:val="1AE63222"/>
    <w:rsid w:val="1B013508"/>
    <w:rsid w:val="1B3A144B"/>
    <w:rsid w:val="1B620683"/>
    <w:rsid w:val="1B695E61"/>
    <w:rsid w:val="1B6E1AFC"/>
    <w:rsid w:val="1BDF5CE8"/>
    <w:rsid w:val="1BE85F5C"/>
    <w:rsid w:val="1C101C2D"/>
    <w:rsid w:val="1C401C39"/>
    <w:rsid w:val="1C79141D"/>
    <w:rsid w:val="1C910559"/>
    <w:rsid w:val="1C9D4BA3"/>
    <w:rsid w:val="1CA91A36"/>
    <w:rsid w:val="1CBD494F"/>
    <w:rsid w:val="1CEA3CCF"/>
    <w:rsid w:val="1CFC5E9D"/>
    <w:rsid w:val="1D147CC1"/>
    <w:rsid w:val="1DAF3362"/>
    <w:rsid w:val="1DB44EAA"/>
    <w:rsid w:val="1DBC2B8F"/>
    <w:rsid w:val="1DD55681"/>
    <w:rsid w:val="1DED217A"/>
    <w:rsid w:val="1DFC5D9A"/>
    <w:rsid w:val="1DFE6FCD"/>
    <w:rsid w:val="1E3119FD"/>
    <w:rsid w:val="1E3368D3"/>
    <w:rsid w:val="1E4259BD"/>
    <w:rsid w:val="1E450CE8"/>
    <w:rsid w:val="1E917E41"/>
    <w:rsid w:val="1ECD07CD"/>
    <w:rsid w:val="1EEE22CE"/>
    <w:rsid w:val="1EFB52BB"/>
    <w:rsid w:val="1F7807AF"/>
    <w:rsid w:val="1FC67B7A"/>
    <w:rsid w:val="20005613"/>
    <w:rsid w:val="20573EE6"/>
    <w:rsid w:val="206F792D"/>
    <w:rsid w:val="20AE388C"/>
    <w:rsid w:val="20BE0AC7"/>
    <w:rsid w:val="211762CF"/>
    <w:rsid w:val="21362140"/>
    <w:rsid w:val="214E2934"/>
    <w:rsid w:val="21535882"/>
    <w:rsid w:val="218562F9"/>
    <w:rsid w:val="22364E30"/>
    <w:rsid w:val="225C430D"/>
    <w:rsid w:val="225F2A93"/>
    <w:rsid w:val="227B52F5"/>
    <w:rsid w:val="229227FC"/>
    <w:rsid w:val="22D80D84"/>
    <w:rsid w:val="233C0E37"/>
    <w:rsid w:val="234C7698"/>
    <w:rsid w:val="23687D8D"/>
    <w:rsid w:val="23723FBA"/>
    <w:rsid w:val="238C0DE8"/>
    <w:rsid w:val="23DB76DF"/>
    <w:rsid w:val="240D617F"/>
    <w:rsid w:val="241672DD"/>
    <w:rsid w:val="241708FB"/>
    <w:rsid w:val="244C24FA"/>
    <w:rsid w:val="248B1094"/>
    <w:rsid w:val="24C11AC9"/>
    <w:rsid w:val="24DE5926"/>
    <w:rsid w:val="25417F96"/>
    <w:rsid w:val="25AA3302"/>
    <w:rsid w:val="25C35DEF"/>
    <w:rsid w:val="25E57640"/>
    <w:rsid w:val="25F93AF2"/>
    <w:rsid w:val="26200433"/>
    <w:rsid w:val="262139D6"/>
    <w:rsid w:val="26235823"/>
    <w:rsid w:val="26E958F9"/>
    <w:rsid w:val="26EE5481"/>
    <w:rsid w:val="271B20BE"/>
    <w:rsid w:val="27357461"/>
    <w:rsid w:val="27556AE4"/>
    <w:rsid w:val="27777256"/>
    <w:rsid w:val="277E7F42"/>
    <w:rsid w:val="27A31485"/>
    <w:rsid w:val="27A83832"/>
    <w:rsid w:val="27BE1944"/>
    <w:rsid w:val="27C967C7"/>
    <w:rsid w:val="27D150E1"/>
    <w:rsid w:val="27E77002"/>
    <w:rsid w:val="280332CA"/>
    <w:rsid w:val="28121D50"/>
    <w:rsid w:val="284B5588"/>
    <w:rsid w:val="28CA1CFF"/>
    <w:rsid w:val="28D22706"/>
    <w:rsid w:val="28E219C5"/>
    <w:rsid w:val="28FB28EE"/>
    <w:rsid w:val="29061BF2"/>
    <w:rsid w:val="29474CAF"/>
    <w:rsid w:val="2999739E"/>
    <w:rsid w:val="2A1316E0"/>
    <w:rsid w:val="2A134397"/>
    <w:rsid w:val="2A16531B"/>
    <w:rsid w:val="2A2F4546"/>
    <w:rsid w:val="2A62443A"/>
    <w:rsid w:val="2A65091E"/>
    <w:rsid w:val="2A697EC4"/>
    <w:rsid w:val="2A85369C"/>
    <w:rsid w:val="2ABD408D"/>
    <w:rsid w:val="2AE23476"/>
    <w:rsid w:val="2AF81A5A"/>
    <w:rsid w:val="2B02491D"/>
    <w:rsid w:val="2B293A9E"/>
    <w:rsid w:val="2B683386"/>
    <w:rsid w:val="2B7C7BC1"/>
    <w:rsid w:val="2BAC2771"/>
    <w:rsid w:val="2BEB75B2"/>
    <w:rsid w:val="2BEE60A5"/>
    <w:rsid w:val="2BF04F1E"/>
    <w:rsid w:val="2C261ED0"/>
    <w:rsid w:val="2C327F60"/>
    <w:rsid w:val="2C3342E6"/>
    <w:rsid w:val="2C7375A2"/>
    <w:rsid w:val="2C8B24A1"/>
    <w:rsid w:val="2C917C2E"/>
    <w:rsid w:val="2CA4787D"/>
    <w:rsid w:val="2CC91BDE"/>
    <w:rsid w:val="2CD01CB6"/>
    <w:rsid w:val="2CE61FDC"/>
    <w:rsid w:val="2D2D42AE"/>
    <w:rsid w:val="2D562E6F"/>
    <w:rsid w:val="2D8D045E"/>
    <w:rsid w:val="2D8E421C"/>
    <w:rsid w:val="2DBF729E"/>
    <w:rsid w:val="2DD3023A"/>
    <w:rsid w:val="2DD76C40"/>
    <w:rsid w:val="2DEA09D6"/>
    <w:rsid w:val="2E081587"/>
    <w:rsid w:val="2E2C24A5"/>
    <w:rsid w:val="2E2C366A"/>
    <w:rsid w:val="2E755964"/>
    <w:rsid w:val="2EDA13D2"/>
    <w:rsid w:val="2F1A3DD4"/>
    <w:rsid w:val="2F5E55A1"/>
    <w:rsid w:val="2F666452"/>
    <w:rsid w:val="2F706AF8"/>
    <w:rsid w:val="2F992124"/>
    <w:rsid w:val="2FB53A2D"/>
    <w:rsid w:val="2FD86AB4"/>
    <w:rsid w:val="2FDA58BC"/>
    <w:rsid w:val="2FDC1914"/>
    <w:rsid w:val="2FEC62C2"/>
    <w:rsid w:val="30451BBC"/>
    <w:rsid w:val="306275EE"/>
    <w:rsid w:val="306F6904"/>
    <w:rsid w:val="30930E2E"/>
    <w:rsid w:val="309B5D53"/>
    <w:rsid w:val="309E1164"/>
    <w:rsid w:val="30AC7F83"/>
    <w:rsid w:val="30C82816"/>
    <w:rsid w:val="30D91E64"/>
    <w:rsid w:val="31AC5C5F"/>
    <w:rsid w:val="32245452"/>
    <w:rsid w:val="323B2CF8"/>
    <w:rsid w:val="324032FC"/>
    <w:rsid w:val="32794D73"/>
    <w:rsid w:val="32A01F88"/>
    <w:rsid w:val="32B530FE"/>
    <w:rsid w:val="32D60F2A"/>
    <w:rsid w:val="332B5883"/>
    <w:rsid w:val="332E14C6"/>
    <w:rsid w:val="33A71E17"/>
    <w:rsid w:val="3425250B"/>
    <w:rsid w:val="343B4BE2"/>
    <w:rsid w:val="34744190"/>
    <w:rsid w:val="34B04324"/>
    <w:rsid w:val="34D11437"/>
    <w:rsid w:val="34EE320F"/>
    <w:rsid w:val="353103B5"/>
    <w:rsid w:val="35696FCA"/>
    <w:rsid w:val="35AE1D1F"/>
    <w:rsid w:val="35DC736B"/>
    <w:rsid w:val="35E35D56"/>
    <w:rsid w:val="3665370B"/>
    <w:rsid w:val="366F4BA7"/>
    <w:rsid w:val="3697461C"/>
    <w:rsid w:val="36AD5DC8"/>
    <w:rsid w:val="37031681"/>
    <w:rsid w:val="3731074C"/>
    <w:rsid w:val="37D42E51"/>
    <w:rsid w:val="37D84221"/>
    <w:rsid w:val="38733B2C"/>
    <w:rsid w:val="38D94D40"/>
    <w:rsid w:val="38E1287E"/>
    <w:rsid w:val="38F24E7A"/>
    <w:rsid w:val="38F378F2"/>
    <w:rsid w:val="38FE3794"/>
    <w:rsid w:val="39C12F31"/>
    <w:rsid w:val="39C173D5"/>
    <w:rsid w:val="39FD5F33"/>
    <w:rsid w:val="3A0869AF"/>
    <w:rsid w:val="3A671F59"/>
    <w:rsid w:val="3A7F2907"/>
    <w:rsid w:val="3AB605BC"/>
    <w:rsid w:val="3ADC46E1"/>
    <w:rsid w:val="3B095D51"/>
    <w:rsid w:val="3B3105AC"/>
    <w:rsid w:val="3B4E0E59"/>
    <w:rsid w:val="3B5B20B0"/>
    <w:rsid w:val="3B926F4C"/>
    <w:rsid w:val="3BD740D2"/>
    <w:rsid w:val="3C0B4130"/>
    <w:rsid w:val="3C5532E6"/>
    <w:rsid w:val="3C8666FD"/>
    <w:rsid w:val="3C91106D"/>
    <w:rsid w:val="3CC15E47"/>
    <w:rsid w:val="3CCD585C"/>
    <w:rsid w:val="3CDE5E1A"/>
    <w:rsid w:val="3CE4189F"/>
    <w:rsid w:val="3CF57F54"/>
    <w:rsid w:val="3D2428A1"/>
    <w:rsid w:val="3DA87AB5"/>
    <w:rsid w:val="3E00155A"/>
    <w:rsid w:val="3E0A262C"/>
    <w:rsid w:val="3E0A2E58"/>
    <w:rsid w:val="3E130DBA"/>
    <w:rsid w:val="3E175A62"/>
    <w:rsid w:val="3E58403D"/>
    <w:rsid w:val="3E772188"/>
    <w:rsid w:val="3E9C73C7"/>
    <w:rsid w:val="3EA93C5B"/>
    <w:rsid w:val="3EBF1F68"/>
    <w:rsid w:val="3EEC24A8"/>
    <w:rsid w:val="3EF06066"/>
    <w:rsid w:val="3F0A1A91"/>
    <w:rsid w:val="3F0A51E9"/>
    <w:rsid w:val="3F117BD4"/>
    <w:rsid w:val="3F503317"/>
    <w:rsid w:val="3F762BC4"/>
    <w:rsid w:val="3F9816F2"/>
    <w:rsid w:val="3FA325A6"/>
    <w:rsid w:val="3FC77001"/>
    <w:rsid w:val="402B6356"/>
    <w:rsid w:val="402D1A4C"/>
    <w:rsid w:val="40484A01"/>
    <w:rsid w:val="407056B1"/>
    <w:rsid w:val="40775EF7"/>
    <w:rsid w:val="4083655F"/>
    <w:rsid w:val="40A76F69"/>
    <w:rsid w:val="40DD6179"/>
    <w:rsid w:val="410A13D7"/>
    <w:rsid w:val="411936F5"/>
    <w:rsid w:val="4125361D"/>
    <w:rsid w:val="41273B5D"/>
    <w:rsid w:val="41407380"/>
    <w:rsid w:val="41870656"/>
    <w:rsid w:val="41AB4A33"/>
    <w:rsid w:val="41AD502C"/>
    <w:rsid w:val="41FF35B1"/>
    <w:rsid w:val="420D418A"/>
    <w:rsid w:val="42631478"/>
    <w:rsid w:val="42696D48"/>
    <w:rsid w:val="4292081F"/>
    <w:rsid w:val="42B52703"/>
    <w:rsid w:val="42E27A71"/>
    <w:rsid w:val="42F71CEC"/>
    <w:rsid w:val="42FB34F7"/>
    <w:rsid w:val="433F1A00"/>
    <w:rsid w:val="43410E67"/>
    <w:rsid w:val="43544FFA"/>
    <w:rsid w:val="436F7031"/>
    <w:rsid w:val="4384276F"/>
    <w:rsid w:val="439830F9"/>
    <w:rsid w:val="439A007D"/>
    <w:rsid w:val="4406524B"/>
    <w:rsid w:val="44143923"/>
    <w:rsid w:val="442411F9"/>
    <w:rsid w:val="443067BA"/>
    <w:rsid w:val="444A2031"/>
    <w:rsid w:val="44B85FFB"/>
    <w:rsid w:val="451B42BA"/>
    <w:rsid w:val="452627E2"/>
    <w:rsid w:val="45543D4A"/>
    <w:rsid w:val="45C656E1"/>
    <w:rsid w:val="45F63444"/>
    <w:rsid w:val="46220201"/>
    <w:rsid w:val="4635620F"/>
    <w:rsid w:val="46454957"/>
    <w:rsid w:val="465374F0"/>
    <w:rsid w:val="46B04006"/>
    <w:rsid w:val="46D26911"/>
    <w:rsid w:val="46DB3BE7"/>
    <w:rsid w:val="46F838A8"/>
    <w:rsid w:val="470C596F"/>
    <w:rsid w:val="472674C8"/>
    <w:rsid w:val="47315859"/>
    <w:rsid w:val="47462FC3"/>
    <w:rsid w:val="47626028"/>
    <w:rsid w:val="477EF908"/>
    <w:rsid w:val="479A5959"/>
    <w:rsid w:val="47CE3809"/>
    <w:rsid w:val="47D772EC"/>
    <w:rsid w:val="47FB487A"/>
    <w:rsid w:val="48213975"/>
    <w:rsid w:val="487216E8"/>
    <w:rsid w:val="487650FA"/>
    <w:rsid w:val="490303CC"/>
    <w:rsid w:val="49225514"/>
    <w:rsid w:val="49350C9F"/>
    <w:rsid w:val="49625ABB"/>
    <w:rsid w:val="49642D31"/>
    <w:rsid w:val="49877DA8"/>
    <w:rsid w:val="49B151DD"/>
    <w:rsid w:val="49FE148C"/>
    <w:rsid w:val="4A283338"/>
    <w:rsid w:val="4A29579D"/>
    <w:rsid w:val="4A657369"/>
    <w:rsid w:val="4AB65551"/>
    <w:rsid w:val="4AF22945"/>
    <w:rsid w:val="4B2F2866"/>
    <w:rsid w:val="4B524E11"/>
    <w:rsid w:val="4B576B84"/>
    <w:rsid w:val="4BAC3727"/>
    <w:rsid w:val="4BB1656A"/>
    <w:rsid w:val="4BE56F53"/>
    <w:rsid w:val="4C06102F"/>
    <w:rsid w:val="4C326C11"/>
    <w:rsid w:val="4C3B2A44"/>
    <w:rsid w:val="4C3F04A5"/>
    <w:rsid w:val="4D4E272B"/>
    <w:rsid w:val="4D682A44"/>
    <w:rsid w:val="4D6C714F"/>
    <w:rsid w:val="4D703D1E"/>
    <w:rsid w:val="4D750A7A"/>
    <w:rsid w:val="4DCF1001"/>
    <w:rsid w:val="4E9A56B9"/>
    <w:rsid w:val="4F8C75E7"/>
    <w:rsid w:val="4FC82E13"/>
    <w:rsid w:val="4FEC4864"/>
    <w:rsid w:val="4FFD46C8"/>
    <w:rsid w:val="50A92B61"/>
    <w:rsid w:val="50B92BBB"/>
    <w:rsid w:val="51104A06"/>
    <w:rsid w:val="514E41CC"/>
    <w:rsid w:val="51974469"/>
    <w:rsid w:val="51C324B7"/>
    <w:rsid w:val="51D44347"/>
    <w:rsid w:val="51E17650"/>
    <w:rsid w:val="51E25299"/>
    <w:rsid w:val="51E30482"/>
    <w:rsid w:val="51E61717"/>
    <w:rsid w:val="52746DE2"/>
    <w:rsid w:val="52DC4B00"/>
    <w:rsid w:val="52E94D99"/>
    <w:rsid w:val="5311442D"/>
    <w:rsid w:val="532F5BC8"/>
    <w:rsid w:val="536B70CD"/>
    <w:rsid w:val="537A0B0F"/>
    <w:rsid w:val="53A61D95"/>
    <w:rsid w:val="53DA2E71"/>
    <w:rsid w:val="53F936E1"/>
    <w:rsid w:val="541D6638"/>
    <w:rsid w:val="54371E47"/>
    <w:rsid w:val="543B5250"/>
    <w:rsid w:val="5453207B"/>
    <w:rsid w:val="545F71FB"/>
    <w:rsid w:val="54673F55"/>
    <w:rsid w:val="547748A2"/>
    <w:rsid w:val="54795344"/>
    <w:rsid w:val="54E27D4D"/>
    <w:rsid w:val="550932A7"/>
    <w:rsid w:val="550B7314"/>
    <w:rsid w:val="55496DF8"/>
    <w:rsid w:val="558511DC"/>
    <w:rsid w:val="55A002E1"/>
    <w:rsid w:val="55D45164"/>
    <w:rsid w:val="56153EFF"/>
    <w:rsid w:val="563874DF"/>
    <w:rsid w:val="56771D77"/>
    <w:rsid w:val="56BF2156"/>
    <w:rsid w:val="572957BF"/>
    <w:rsid w:val="572A2264"/>
    <w:rsid w:val="575F2F6E"/>
    <w:rsid w:val="578D73E6"/>
    <w:rsid w:val="57B01D3A"/>
    <w:rsid w:val="57F356AF"/>
    <w:rsid w:val="57F91F69"/>
    <w:rsid w:val="57FD096B"/>
    <w:rsid w:val="58214023"/>
    <w:rsid w:val="58323A62"/>
    <w:rsid w:val="58507CBD"/>
    <w:rsid w:val="58984F7C"/>
    <w:rsid w:val="58D233AE"/>
    <w:rsid w:val="58E10BDE"/>
    <w:rsid w:val="58E448D9"/>
    <w:rsid w:val="58EB2AAF"/>
    <w:rsid w:val="590930CC"/>
    <w:rsid w:val="5925609D"/>
    <w:rsid w:val="595C04CD"/>
    <w:rsid w:val="59802ABF"/>
    <w:rsid w:val="59A53C25"/>
    <w:rsid w:val="59AA73D8"/>
    <w:rsid w:val="59C0685E"/>
    <w:rsid w:val="59D025EE"/>
    <w:rsid w:val="59FE2690"/>
    <w:rsid w:val="5A1C179F"/>
    <w:rsid w:val="5A317606"/>
    <w:rsid w:val="5A317EC0"/>
    <w:rsid w:val="5A5615BC"/>
    <w:rsid w:val="5A5F29E1"/>
    <w:rsid w:val="5AA30DE7"/>
    <w:rsid w:val="5AAB4D02"/>
    <w:rsid w:val="5AB458B1"/>
    <w:rsid w:val="5AE36477"/>
    <w:rsid w:val="5B4B17C0"/>
    <w:rsid w:val="5B647B21"/>
    <w:rsid w:val="5B965A5B"/>
    <w:rsid w:val="5BE0459B"/>
    <w:rsid w:val="5C121D1A"/>
    <w:rsid w:val="5C3774BC"/>
    <w:rsid w:val="5C7F48CC"/>
    <w:rsid w:val="5CAB7A77"/>
    <w:rsid w:val="5D5366E7"/>
    <w:rsid w:val="5D7F102D"/>
    <w:rsid w:val="5DA3332C"/>
    <w:rsid w:val="5DBA5090"/>
    <w:rsid w:val="5DD1318C"/>
    <w:rsid w:val="5DF20031"/>
    <w:rsid w:val="5E0E6267"/>
    <w:rsid w:val="5E271520"/>
    <w:rsid w:val="5ED3731F"/>
    <w:rsid w:val="5F16266E"/>
    <w:rsid w:val="5F646B58"/>
    <w:rsid w:val="5F927AF6"/>
    <w:rsid w:val="5FDF3D88"/>
    <w:rsid w:val="6010209D"/>
    <w:rsid w:val="602A0C6E"/>
    <w:rsid w:val="60531DE4"/>
    <w:rsid w:val="605A43F3"/>
    <w:rsid w:val="6065562C"/>
    <w:rsid w:val="606E61E9"/>
    <w:rsid w:val="60AD501A"/>
    <w:rsid w:val="60CA19D8"/>
    <w:rsid w:val="60E43117"/>
    <w:rsid w:val="60F76BF4"/>
    <w:rsid w:val="612B657A"/>
    <w:rsid w:val="612F3A06"/>
    <w:rsid w:val="615062BB"/>
    <w:rsid w:val="61796113"/>
    <w:rsid w:val="61A91D7E"/>
    <w:rsid w:val="61C144EF"/>
    <w:rsid w:val="61FE1A61"/>
    <w:rsid w:val="62503763"/>
    <w:rsid w:val="62512FEA"/>
    <w:rsid w:val="62C366A0"/>
    <w:rsid w:val="62E62D35"/>
    <w:rsid w:val="62E821E8"/>
    <w:rsid w:val="62EB74C5"/>
    <w:rsid w:val="62F51D1A"/>
    <w:rsid w:val="62F51F80"/>
    <w:rsid w:val="62F87B54"/>
    <w:rsid w:val="630770C9"/>
    <w:rsid w:val="6317701F"/>
    <w:rsid w:val="635F764E"/>
    <w:rsid w:val="63726D11"/>
    <w:rsid w:val="638365BD"/>
    <w:rsid w:val="638F4127"/>
    <w:rsid w:val="63906679"/>
    <w:rsid w:val="63AE011A"/>
    <w:rsid w:val="64052AC5"/>
    <w:rsid w:val="6418419F"/>
    <w:rsid w:val="642512D3"/>
    <w:rsid w:val="644A41CF"/>
    <w:rsid w:val="64844412"/>
    <w:rsid w:val="64965549"/>
    <w:rsid w:val="64B3137F"/>
    <w:rsid w:val="64C13E6F"/>
    <w:rsid w:val="64C227AC"/>
    <w:rsid w:val="64FA277A"/>
    <w:rsid w:val="64FD771F"/>
    <w:rsid w:val="65031DA0"/>
    <w:rsid w:val="653603C7"/>
    <w:rsid w:val="655C2B7E"/>
    <w:rsid w:val="656F3A51"/>
    <w:rsid w:val="65D14B88"/>
    <w:rsid w:val="65DB4294"/>
    <w:rsid w:val="65DD0AAC"/>
    <w:rsid w:val="663354EC"/>
    <w:rsid w:val="66685069"/>
    <w:rsid w:val="66C60A29"/>
    <w:rsid w:val="670A34B7"/>
    <w:rsid w:val="672843FB"/>
    <w:rsid w:val="67421678"/>
    <w:rsid w:val="674D7A09"/>
    <w:rsid w:val="675E2270"/>
    <w:rsid w:val="67783772"/>
    <w:rsid w:val="67CD660C"/>
    <w:rsid w:val="67DB74F5"/>
    <w:rsid w:val="683451EA"/>
    <w:rsid w:val="68352E87"/>
    <w:rsid w:val="68407A32"/>
    <w:rsid w:val="684F2AAF"/>
    <w:rsid w:val="687267DF"/>
    <w:rsid w:val="68765A53"/>
    <w:rsid w:val="688A467C"/>
    <w:rsid w:val="68F44117"/>
    <w:rsid w:val="68F914A1"/>
    <w:rsid w:val="69162CF0"/>
    <w:rsid w:val="69392234"/>
    <w:rsid w:val="69450BD9"/>
    <w:rsid w:val="69B13A71"/>
    <w:rsid w:val="69D11C2C"/>
    <w:rsid w:val="6A582B8E"/>
    <w:rsid w:val="6A585B4A"/>
    <w:rsid w:val="6A592B0F"/>
    <w:rsid w:val="6A885B1E"/>
    <w:rsid w:val="6A9E61CF"/>
    <w:rsid w:val="6AA0364B"/>
    <w:rsid w:val="6ACA351F"/>
    <w:rsid w:val="6AD0091A"/>
    <w:rsid w:val="6AE564E9"/>
    <w:rsid w:val="6B0542A1"/>
    <w:rsid w:val="6B3F4472"/>
    <w:rsid w:val="6B594E10"/>
    <w:rsid w:val="6B8361CB"/>
    <w:rsid w:val="6B8F4205"/>
    <w:rsid w:val="6BF6265F"/>
    <w:rsid w:val="6C0F4A94"/>
    <w:rsid w:val="6C4F6DA0"/>
    <w:rsid w:val="6C83012E"/>
    <w:rsid w:val="6C884442"/>
    <w:rsid w:val="6CE334BE"/>
    <w:rsid w:val="6D033D14"/>
    <w:rsid w:val="6D3D7B06"/>
    <w:rsid w:val="6D783D5B"/>
    <w:rsid w:val="6DD565F4"/>
    <w:rsid w:val="6DD8607E"/>
    <w:rsid w:val="6E1567FC"/>
    <w:rsid w:val="6E49545B"/>
    <w:rsid w:val="6E51210E"/>
    <w:rsid w:val="6E6D5537"/>
    <w:rsid w:val="6E7D4F6A"/>
    <w:rsid w:val="6E98052C"/>
    <w:rsid w:val="6E9918ED"/>
    <w:rsid w:val="6EEF6B0D"/>
    <w:rsid w:val="6F1C43D6"/>
    <w:rsid w:val="6F32399A"/>
    <w:rsid w:val="6F4877BE"/>
    <w:rsid w:val="6F74201A"/>
    <w:rsid w:val="6F9B5FA9"/>
    <w:rsid w:val="701658F3"/>
    <w:rsid w:val="702D2E94"/>
    <w:rsid w:val="70730AE3"/>
    <w:rsid w:val="70982910"/>
    <w:rsid w:val="70D90033"/>
    <w:rsid w:val="70F62C99"/>
    <w:rsid w:val="71376302"/>
    <w:rsid w:val="71866DCF"/>
    <w:rsid w:val="71EE0C60"/>
    <w:rsid w:val="72070141"/>
    <w:rsid w:val="720802A1"/>
    <w:rsid w:val="721E08F0"/>
    <w:rsid w:val="722476F6"/>
    <w:rsid w:val="72333754"/>
    <w:rsid w:val="72435D8E"/>
    <w:rsid w:val="728F584F"/>
    <w:rsid w:val="7294672D"/>
    <w:rsid w:val="72997B90"/>
    <w:rsid w:val="72A60DB2"/>
    <w:rsid w:val="72AF75ED"/>
    <w:rsid w:val="72EF0675"/>
    <w:rsid w:val="72F04F08"/>
    <w:rsid w:val="732E2C22"/>
    <w:rsid w:val="73615A5E"/>
    <w:rsid w:val="738D053A"/>
    <w:rsid w:val="740E4275"/>
    <w:rsid w:val="742762AB"/>
    <w:rsid w:val="74412A76"/>
    <w:rsid w:val="74445412"/>
    <w:rsid w:val="744530CF"/>
    <w:rsid w:val="7457538A"/>
    <w:rsid w:val="749B4BFA"/>
    <w:rsid w:val="74A33BFE"/>
    <w:rsid w:val="74AE7632"/>
    <w:rsid w:val="74C40D3A"/>
    <w:rsid w:val="75322481"/>
    <w:rsid w:val="755E6222"/>
    <w:rsid w:val="75BE4806"/>
    <w:rsid w:val="763C3364"/>
    <w:rsid w:val="76440C1A"/>
    <w:rsid w:val="76B06E52"/>
    <w:rsid w:val="76F40D08"/>
    <w:rsid w:val="771237FA"/>
    <w:rsid w:val="773777BE"/>
    <w:rsid w:val="77552ADF"/>
    <w:rsid w:val="776E602F"/>
    <w:rsid w:val="77710CF0"/>
    <w:rsid w:val="777233CA"/>
    <w:rsid w:val="77CE52FC"/>
    <w:rsid w:val="77DC0F50"/>
    <w:rsid w:val="77F20937"/>
    <w:rsid w:val="77FD7057"/>
    <w:rsid w:val="78196432"/>
    <w:rsid w:val="782F13D2"/>
    <w:rsid w:val="78534934"/>
    <w:rsid w:val="78B95B1C"/>
    <w:rsid w:val="78CE0040"/>
    <w:rsid w:val="78E61B2D"/>
    <w:rsid w:val="78F261E6"/>
    <w:rsid w:val="78FF080F"/>
    <w:rsid w:val="790F1D64"/>
    <w:rsid w:val="793206CD"/>
    <w:rsid w:val="79AA6D6E"/>
    <w:rsid w:val="79BD20A0"/>
    <w:rsid w:val="7A09486A"/>
    <w:rsid w:val="7A557A7B"/>
    <w:rsid w:val="7A6C0DAE"/>
    <w:rsid w:val="7ACF0454"/>
    <w:rsid w:val="7AD60415"/>
    <w:rsid w:val="7B3C363D"/>
    <w:rsid w:val="7B6E5BC1"/>
    <w:rsid w:val="7B7A3197"/>
    <w:rsid w:val="7B830A96"/>
    <w:rsid w:val="7B870239"/>
    <w:rsid w:val="7B9B6ED9"/>
    <w:rsid w:val="7BA22FE1"/>
    <w:rsid w:val="7BEA7C68"/>
    <w:rsid w:val="7C161217"/>
    <w:rsid w:val="7C581BDC"/>
    <w:rsid w:val="7CE6075B"/>
    <w:rsid w:val="7CF53C93"/>
    <w:rsid w:val="7CFB1A18"/>
    <w:rsid w:val="7D1172F8"/>
    <w:rsid w:val="7D67271F"/>
    <w:rsid w:val="7D6B181F"/>
    <w:rsid w:val="7D7960FD"/>
    <w:rsid w:val="7DB84AD1"/>
    <w:rsid w:val="7DE76A9E"/>
    <w:rsid w:val="7DEC33CD"/>
    <w:rsid w:val="7E0A24D6"/>
    <w:rsid w:val="7E175822"/>
    <w:rsid w:val="7E350F2A"/>
    <w:rsid w:val="7E617E0B"/>
    <w:rsid w:val="7E77A389"/>
    <w:rsid w:val="7E7D6F5F"/>
    <w:rsid w:val="7E931803"/>
    <w:rsid w:val="7EC32E3C"/>
    <w:rsid w:val="7ECA128F"/>
    <w:rsid w:val="7EDE52EF"/>
    <w:rsid w:val="7F0C2FFD"/>
    <w:rsid w:val="7F897AD4"/>
    <w:rsid w:val="7F9B73F2"/>
    <w:rsid w:val="7FC3728A"/>
    <w:rsid w:val="7FCC7BB8"/>
    <w:rsid w:val="7FD73C1B"/>
    <w:rsid w:val="7FEA2567"/>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styleId="4">
    <w:name w:val="index 8"/>
    <w:basedOn w:val="1"/>
    <w:next w:val="1"/>
    <w:qFormat/>
    <w:uiPriority w:val="0"/>
    <w:pPr>
      <w:ind w:left="2940"/>
    </w:pPr>
    <w:rPr>
      <w:rFonts w:ascii="Times New Roman" w:hAnsi="Times New Roman"/>
    </w:rPr>
  </w:style>
  <w:style w:type="paragraph" w:styleId="5">
    <w:name w:val="toa heading"/>
    <w:basedOn w:val="1"/>
    <w:next w:val="1"/>
    <w:qFormat/>
    <w:uiPriority w:val="0"/>
    <w:pPr>
      <w:spacing w:before="120"/>
    </w:pPr>
    <w:rPr>
      <w:rFonts w:ascii="Arial" w:hAnsi="Arial"/>
      <w:sz w:val="24"/>
    </w:rPr>
  </w:style>
  <w:style w:type="paragraph" w:styleId="6">
    <w:name w:val="annotation text"/>
    <w:basedOn w:val="1"/>
    <w:qFormat/>
    <w:uiPriority w:val="0"/>
    <w:pPr>
      <w:jc w:val="left"/>
    </w:pPr>
  </w:style>
  <w:style w:type="paragraph" w:styleId="7">
    <w:name w:val="Body Text"/>
    <w:basedOn w:val="1"/>
    <w:next w:val="8"/>
    <w:link w:val="18"/>
    <w:qFormat/>
    <w:uiPriority w:val="0"/>
    <w:pPr>
      <w:spacing w:after="120"/>
    </w:pPr>
  </w:style>
  <w:style w:type="paragraph" w:styleId="8">
    <w:name w:val="Title"/>
    <w:basedOn w:val="1"/>
    <w:next w:val="1"/>
    <w:qFormat/>
    <w:uiPriority w:val="10"/>
    <w:pPr>
      <w:spacing w:before="240" w:after="60"/>
      <w:jc w:val="center"/>
      <w:outlineLvl w:val="0"/>
    </w:pPr>
    <w:rPr>
      <w:rFonts w:ascii="@仿宋_GB2312" w:hAnsi="@仿宋_GB2312" w:eastAsia="@仿宋_GB2312"/>
      <w:b/>
      <w:bCs/>
    </w:rPr>
  </w:style>
  <w:style w:type="paragraph" w:styleId="9">
    <w:name w:val="Plain Text"/>
    <w:basedOn w:val="1"/>
    <w:next w:val="4"/>
    <w:qFormat/>
    <w:uiPriority w:val="0"/>
    <w:rPr>
      <w:rFonts w:ascii="宋体" w:hAnsi="Courier New" w:cs="Courier New"/>
      <w:szCs w:val="21"/>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u w:val="single"/>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7"/>
    <w:qFormat/>
    <w:uiPriority w:val="0"/>
    <w:rPr>
      <w:rFonts w:ascii="Calibri" w:hAnsi="Calibri"/>
      <w:kern w:val="2"/>
      <w:sz w:val="32"/>
      <w:szCs w:val="22"/>
    </w:rPr>
  </w:style>
  <w:style w:type="character" w:customStyle="1" w:styleId="19">
    <w:name w:val="页眉 字符"/>
    <w:link w:val="11"/>
    <w:qFormat/>
    <w:uiPriority w:val="0"/>
    <w:rPr>
      <w:rFonts w:ascii="Calibri" w:hAnsi="Calibri"/>
      <w:kern w:val="2"/>
      <w:sz w:val="18"/>
      <w:szCs w:val="18"/>
    </w:rPr>
  </w:style>
  <w:style w:type="character" w:customStyle="1" w:styleId="20">
    <w:name w:val="页脚 字符"/>
    <w:link w:val="10"/>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71"/>
    <w:basedOn w:val="15"/>
    <w:qFormat/>
    <w:uiPriority w:val="0"/>
    <w:rPr>
      <w:rFonts w:hint="eastAsia" w:ascii="宋体" w:hAnsi="宋体" w:eastAsia="宋体" w:cs="宋体"/>
      <w:b/>
      <w:bCs/>
      <w:color w:val="000000"/>
      <w:sz w:val="30"/>
      <w:szCs w:val="30"/>
      <w:u w:val="none"/>
    </w:rPr>
  </w:style>
  <w:style w:type="character" w:customStyle="1" w:styleId="29">
    <w:name w:val="font41"/>
    <w:basedOn w:val="15"/>
    <w:qFormat/>
    <w:uiPriority w:val="0"/>
    <w:rPr>
      <w:rFonts w:hint="eastAsia" w:ascii="宋体" w:hAnsi="宋体" w:eastAsia="宋体" w:cs="宋体"/>
      <w:color w:val="000000"/>
      <w:sz w:val="30"/>
      <w:szCs w:val="30"/>
      <w:u w:val="none"/>
    </w:rPr>
  </w:style>
  <w:style w:type="character" w:customStyle="1" w:styleId="30">
    <w:name w:val="font51"/>
    <w:basedOn w:val="15"/>
    <w:qFormat/>
    <w:uiPriority w:val="0"/>
    <w:rPr>
      <w:rFonts w:hint="eastAsia" w:ascii="黑体" w:hAnsi="宋体" w:eastAsia="黑体" w:cs="黑体"/>
      <w:color w:val="000000"/>
      <w:sz w:val="28"/>
      <w:szCs w:val="28"/>
      <w:u w:val="none"/>
    </w:rPr>
  </w:style>
  <w:style w:type="character" w:customStyle="1" w:styleId="31">
    <w:name w:val="font81"/>
    <w:basedOn w:val="15"/>
    <w:qFormat/>
    <w:uiPriority w:val="0"/>
    <w:rPr>
      <w:rFonts w:hint="eastAsia" w:ascii="黑体" w:hAnsi="宋体" w:eastAsia="黑体" w:cs="黑体"/>
      <w:b/>
      <w:bCs/>
      <w:color w:val="000000"/>
      <w:sz w:val="28"/>
      <w:szCs w:val="28"/>
      <w:u w:val="none"/>
    </w:rPr>
  </w:style>
  <w:style w:type="character" w:customStyle="1" w:styleId="32">
    <w:name w:val="font91"/>
    <w:basedOn w:val="15"/>
    <w:qFormat/>
    <w:uiPriority w:val="0"/>
    <w:rPr>
      <w:rFonts w:hint="eastAsia" w:ascii="黑体" w:hAnsi="宋体" w:eastAsia="黑体" w:cs="黑体"/>
      <w:color w:val="000000"/>
      <w:sz w:val="28"/>
      <w:szCs w:val="28"/>
      <w:u w:val="none"/>
    </w:rPr>
  </w:style>
  <w:style w:type="character" w:customStyle="1" w:styleId="33">
    <w:name w:val="font151"/>
    <w:basedOn w:val="15"/>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17</TotalTime>
  <ScaleCrop>false</ScaleCrop>
  <LinksUpToDate>false</LinksUpToDate>
  <CharactersWithSpaces>3814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2022-12-30T15:48:00Z</dcterms:created>
  <dc:creator>yangxy</dc:creator>
  <cp:lastModifiedBy>wangwei</cp:lastModifiedBy>
  <dcterms:modified xsi:type="dcterms:W3CDTF">2026-04-29T03:05:51Z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89950ECDAAF14E07977E0382F0E45C42</vt:lpwstr>
  </property>
</Properties>
</file>