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r>
        <w:rPr>
          <w:rFonts w:hint="eastAsia" w:ascii="方正小标宋简体" w:hAnsi="仿宋_GB2312" w:eastAsia="方正小标宋简体" w:cs="仿宋_GB2312"/>
          <w:color w:val="auto"/>
          <w:kern w:val="0"/>
          <w:sz w:val="44"/>
          <w:szCs w:val="44"/>
          <w:highlight w:val="none"/>
        </w:rPr>
        <w:t>医疗机构申请医疗保障定点指引</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（引导培育社区医疗机构、控制增量社区除中医类或口腔类基层医疗机构外的医疗机构）</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（一）</w:t>
      </w:r>
      <w:r>
        <w:rPr>
          <w:rFonts w:hint="eastAsia" w:ascii="仿宋_GB2312" w:hAnsi="仿宋_GB2312" w:eastAsia="仿宋_GB2312" w:cs="仿宋_GB2312"/>
          <w:color w:val="auto"/>
          <w:kern w:val="0"/>
          <w:sz w:val="32"/>
          <w:szCs w:val="32"/>
          <w:highlight w:val="none"/>
          <w:lang w:eastAsia="zh-CN"/>
        </w:rPr>
        <w:t>引导培育社区医疗机构；</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（二）控制增量社区</w:t>
      </w:r>
      <w:r>
        <w:rPr>
          <w:rFonts w:hint="eastAsia" w:ascii="仿宋_GB2312" w:hAnsi="仿宋_GB2312" w:eastAsia="仿宋_GB2312" w:cs="仿宋_GB2312"/>
          <w:color w:val="auto"/>
          <w:kern w:val="0"/>
          <w:sz w:val="32"/>
          <w:szCs w:val="32"/>
          <w:highlight w:val="none"/>
          <w:lang w:eastAsia="zh-CN"/>
        </w:rPr>
        <w:t>除以下四类以外的医疗机构：</w:t>
      </w:r>
      <w:r>
        <w:rPr>
          <w:rFonts w:hint="eastAsia" w:ascii="仿宋_GB2312" w:hAnsi="仿宋_GB2312" w:eastAsia="仿宋_GB2312" w:cs="仿宋_GB2312"/>
          <w:color w:val="auto"/>
          <w:kern w:val="0"/>
          <w:sz w:val="32"/>
          <w:szCs w:val="32"/>
          <w:highlight w:val="none"/>
          <w:lang w:val="en-US" w:eastAsia="zh-CN" w:bidi="ar-SA"/>
        </w:rPr>
        <w:t>1.中医类门诊部，包含中医（综合、专科）门诊部、中西医结合门诊部、民族医门诊部等；2.中医类诊所，包括中医（综合）诊所、中西医结合诊所、民族医诊所等，包括诊疗科目含中医科、中西医结合科的普通（其他）诊所（盲人按摩所除外）；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口腔门诊部；</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口腔诊所，包括诊疗科目含口腔科的的普通（其他）诊所；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bidi="ar-SA"/>
        </w:rPr>
        <w:t>（三）</w:t>
      </w:r>
      <w:r>
        <w:rPr>
          <w:rFonts w:hint="eastAsia" w:ascii="仿宋_GB2312" w:hAnsi="仿宋_GB2312" w:eastAsia="仿宋_GB2312" w:cs="仿宋_GB2312"/>
          <w:color w:val="auto"/>
          <w:kern w:val="0"/>
          <w:sz w:val="32"/>
          <w:szCs w:val="32"/>
          <w:highlight w:val="none"/>
          <w:lang w:eastAsia="zh-CN"/>
        </w:rPr>
        <w:t>引导培育社区、控制增量社区</w:t>
      </w:r>
      <w:r>
        <w:rPr>
          <w:rFonts w:hint="eastAsia" w:ascii="仿宋_GB2312" w:hAnsi="仿宋_GB2312" w:eastAsia="仿宋_GB2312" w:cs="仿宋_GB2312"/>
          <w:color w:val="auto"/>
          <w:kern w:val="0"/>
          <w:sz w:val="32"/>
          <w:szCs w:val="32"/>
          <w:highlight w:val="none"/>
          <w:lang w:val="en-US" w:eastAsia="zh-CN" w:bidi="ar-SA"/>
        </w:rPr>
        <w:t>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（一）以下</w:t>
      </w:r>
      <w:r>
        <w:rPr>
          <w:rFonts w:hint="eastAsia" w:ascii="仿宋_GB2312" w:hAnsi="仿宋_GB2312" w:eastAsia="仿宋_GB2312" w:cs="仿宋_GB2312"/>
          <w:color w:val="auto"/>
          <w:kern w:val="0"/>
          <w:szCs w:val="32"/>
          <w:highlight w:val="none"/>
        </w:rPr>
        <w:t>取得《医疗机构执业许可证》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color w:val="auto"/>
          <w:kern w:val="0"/>
          <w:szCs w:val="32"/>
          <w:highlight w:val="none"/>
        </w:rPr>
        <w:t>《中医诊所备案证》的医疗机构</w:t>
      </w:r>
      <w:r>
        <w:rPr>
          <w:rFonts w:hint="eastAsia" w:ascii="仿宋_GB2312" w:hAnsi="仿宋_GB2312" w:eastAsia="仿宋_GB2312" w:cs="仿宋_GB2312"/>
          <w:color w:val="auto"/>
          <w:kern w:val="0"/>
          <w:szCs w:val="32"/>
          <w:highlight w:val="none"/>
          <w:lang w:eastAsia="zh-CN"/>
        </w:rPr>
        <w:t>，以及</w:t>
      </w:r>
      <w:r>
        <w:rPr>
          <w:rFonts w:hint="eastAsia" w:ascii="仿宋_GB2312" w:hAnsi="仿宋_GB2312" w:eastAsia="仿宋_GB2312" w:cs="仿宋_GB2312"/>
          <w:color w:val="auto"/>
          <w:kern w:val="0"/>
          <w:szCs w:val="32"/>
          <w:highlight w:val="none"/>
        </w:rPr>
        <w:t>经军队主管部门批准有为民服务资质的军队医疗机构：</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1.综合医院、中医医院、中西医结合医院、民族医医院、专科医院、康复医院；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2.专科疾病防治院（所、站）、妇幼保健院；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3.社区卫生服务中心（站）、中心卫生院、乡镇卫生院、街道卫生院、门诊部、诊所、卫生所（站）、村卫生室（所）；</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4.独立设置的急救中心；</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5.安宁疗护中心、血液透析中心、护理院；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6.养老机构内设的医疗机构；</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7.医疗康复中心；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8.盲人医疗按摩所；</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）正式运营至少3个月</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）至少有1名取得医师执业证书、乡村医生执业证书或中医（专长）医师资格证书且主要执业机构在该医疗机构的医师</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）主要负责人负责医保工作，配备专（兼）职医保管理人员；100张床位以上的医疗机构应当设内部医保管理部门，安排专职工作人员</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）具有符合医保协议管理要求的医保管理制度、财务制度、统计信息管理制度、医疗质量安全核心制度等。</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全量就诊人员结算信息、医保结算清单、药品耗材追溯码、进销存信息等信息至医保信息平台，能够为参保人提供联网直接结算。设立医保药品、诊疗项目、医疗服务设施、医用耗材、疾病病种、医务人员等基础数据库，按规定使用国家和广东省统一的医保编码。按要求推动医保码在挂号、就诊、支付、取药、取报告等就医服务全流程使用。</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）符合法律、法规、规章和省级及以上医疗保障行政部门规定的其他条件。</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存在下列情形之一的，不予受理定点申请：</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以医疗美容、生活照护、种植牙等非基本医疗服务为主要执业范围的</w:t>
      </w:r>
      <w:r>
        <w:rPr>
          <w:rFonts w:hint="eastAsia" w:ascii="仿宋_GB2312" w:hAnsi="仿宋_GB2312" w:eastAsia="仿宋_GB2312" w:cs="仿宋_GB2312"/>
          <w:color w:val="auto"/>
          <w:sz w:val="32"/>
          <w:szCs w:val="32"/>
          <w:highlight w:val="none"/>
          <w:lang w:eastAsia="zh-CN"/>
        </w:rPr>
        <w:t>（国家、省另有规定的从其规定）</w:t>
      </w:r>
      <w:r>
        <w:rPr>
          <w:rFonts w:hint="eastAsia" w:ascii="仿宋_GB2312" w:hAnsi="仿宋_GB2312" w:eastAsia="仿宋_GB2312" w:cs="仿宋_GB2312"/>
          <w:color w:val="auto"/>
          <w:sz w:val="32"/>
          <w:szCs w:val="32"/>
          <w:highlight w:val="none"/>
        </w:rPr>
        <w:t>；</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基本医疗服务未执行医疗保障行政部门制定的医药价格政策的；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未依法履行行政处罚责任的；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以弄虚作假等不正当手段申请定点医疗机构资格，自发现之日起未满3年的；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因违法违规被解除协议未满3年或已满3年但未完全履行行政处罚责任的；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因严重违反医保协议约定而被解除协议未满1年或已满1年但未完全履行违约责任的；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法定代表人、主要负责人或实际控制人曾因严重违法违规导致原定点医疗机构解除医保协议，未满5年的；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法定代表人、主要负责人或实际控制人被列入失信人名单的；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法律、法规规定的其他不予受理的情形。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医疗机构</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登录国家医保信息业务编码标准数据库动态维护平台（https://code.nhsa.gov.cn/）申请本机构的国家机构代码，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lang w:val="en-US" w:eastAsia="zh-CN"/>
        </w:rPr>
        <w:t>公立医疗机构应按要求完成价格档次书面告知。</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 w:val="32"/>
          <w:szCs w:val="32"/>
          <w:highlight w:val="none"/>
          <w:lang w:eastAsia="zh-CN"/>
        </w:rPr>
        <w:t>取得国家机构代码的医疗机构</w:t>
      </w:r>
      <w:r>
        <w:rPr>
          <w:rFonts w:hint="eastAsia" w:ascii="仿宋_GB2312" w:hAnsi="仿宋_GB2312" w:eastAsia="仿宋_GB2312" w:cs="仿宋_GB2312"/>
          <w:color w:val="auto"/>
          <w:kern w:val="0"/>
          <w:sz w:val="32"/>
          <w:szCs w:val="32"/>
          <w:highlight w:val="none"/>
        </w:rPr>
        <w:t>登录深圳市医疗保障局</w:t>
      </w:r>
      <w:r>
        <w:rPr>
          <w:rFonts w:hint="eastAsia" w:ascii="仿宋_GB2312" w:hAnsi="仿宋_GB2312" w:eastAsia="仿宋_GB2312" w:cs="仿宋_GB2312"/>
          <w:color w:val="auto"/>
          <w:kern w:val="0"/>
          <w:sz w:val="32"/>
          <w:szCs w:val="32"/>
          <w:highlight w:val="none"/>
          <w:lang w:eastAsia="zh-CN"/>
        </w:rPr>
        <w:t>官网</w:t>
      </w:r>
      <w:r>
        <w:rPr>
          <w:rFonts w:hint="eastAsia" w:ascii="仿宋_GB2312" w:hAnsi="仿宋_GB2312" w:eastAsia="仿宋_GB2312" w:cs="仿宋_GB2312"/>
          <w:b w:val="0"/>
          <w:bCs w:val="0"/>
          <w:color w:val="auto"/>
          <w:kern w:val="0"/>
          <w:sz w:val="32"/>
          <w:szCs w:val="32"/>
          <w:highlight w:val="none"/>
        </w:rPr>
        <w:t>，点击</w:t>
      </w:r>
      <w:r>
        <w:rPr>
          <w:rFonts w:hint="eastAsia" w:ascii="仿宋_GB2312" w:hAnsi="仿宋_GB2312" w:eastAsia="仿宋_GB2312" w:cs="仿宋_GB2312"/>
          <w:b w:val="0"/>
          <w:bCs w:val="0"/>
          <w:color w:val="auto"/>
          <w:kern w:val="0"/>
          <w:sz w:val="32"/>
          <w:szCs w:val="32"/>
          <w:highlight w:val="none"/>
          <w:lang w:eastAsia="zh-CN"/>
        </w:rPr>
        <w:t>“服务”栏目的</w:t>
      </w:r>
      <w:r>
        <w:rPr>
          <w:rFonts w:hint="eastAsia" w:ascii="仿宋_GB2312" w:hAnsi="仿宋_GB2312" w:eastAsia="仿宋_GB2312" w:cs="仿宋_GB2312"/>
          <w:b w:val="0"/>
          <w:bCs w:val="0"/>
          <w:color w:val="auto"/>
          <w:kern w:val="0"/>
          <w:sz w:val="32"/>
          <w:szCs w:val="32"/>
          <w:highlight w:val="none"/>
          <w:lang w:val="en-US" w:eastAsia="zh-CN"/>
        </w:rPr>
        <w:t>“单位网上服务系统”</w:t>
      </w:r>
      <w:r>
        <w:rPr>
          <w:rFonts w:hint="eastAsia" w:ascii="仿宋_GB2312" w:hAnsi="仿宋_GB2312" w:eastAsia="仿宋_GB2312" w:cs="仿宋_GB2312"/>
          <w:b w:val="0"/>
          <w:bCs w:val="0"/>
          <w:color w:val="auto"/>
          <w:kern w:val="0"/>
          <w:sz w:val="32"/>
          <w:szCs w:val="32"/>
          <w:highlight w:val="none"/>
        </w:rPr>
        <w:t>，用企业参保登记时发放的“单位编号”和“密码”登录广东政务服务网</w:t>
      </w:r>
      <w:r>
        <w:rPr>
          <w:rFonts w:hint="eastAsia" w:ascii="仿宋_GB2312" w:hAnsi="仿宋_GB2312" w:eastAsia="仿宋_GB2312" w:cs="仿宋_GB2312"/>
          <w:b w:val="0"/>
          <w:bCs w:val="0"/>
          <w:color w:val="auto"/>
          <w:kern w:val="0"/>
          <w:sz w:val="32"/>
          <w:szCs w:val="32"/>
          <w:highlight w:val="none"/>
          <w:lang w:eastAsia="zh-CN"/>
        </w:rPr>
        <w:t>（以下简称“申报系统”）</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b w:val="0"/>
          <w:bCs w:val="0"/>
          <w:color w:val="auto"/>
          <w:kern w:val="0"/>
          <w:sz w:val="32"/>
          <w:szCs w:val="32"/>
          <w:highlight w:val="none"/>
          <w:lang w:eastAsia="zh-CN"/>
        </w:rPr>
        <w:t>进入</w:t>
      </w:r>
      <w:r>
        <w:rPr>
          <w:rFonts w:hint="eastAsia" w:ascii="仿宋_GB2312" w:hAnsi="仿宋_GB2312" w:eastAsia="仿宋_GB2312" w:cs="仿宋_GB2312"/>
          <w:b w:val="0"/>
          <w:bCs w:val="0"/>
          <w:color w:val="auto"/>
          <w:kern w:val="0"/>
          <w:sz w:val="32"/>
          <w:szCs w:val="32"/>
          <w:highlight w:val="none"/>
        </w:rPr>
        <w:t>“新增定点申请”模块进行</w:t>
      </w:r>
      <w:r>
        <w:rPr>
          <w:rFonts w:hint="eastAsia" w:ascii="仿宋_GB2312" w:hAnsi="仿宋_GB2312" w:eastAsia="仿宋_GB2312" w:cs="仿宋_GB2312"/>
          <w:b w:val="0"/>
          <w:bCs w:val="0"/>
          <w:color w:val="auto"/>
          <w:kern w:val="0"/>
          <w:sz w:val="32"/>
          <w:szCs w:val="32"/>
          <w:highlight w:val="none"/>
          <w:lang w:val="en-US" w:eastAsia="zh-CN"/>
        </w:rPr>
        <w:t>申请</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医疗机构按要求在申报系统中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rPr>
        <w:t>医疗机构名称、医疗机构类别</w:t>
      </w:r>
      <w:r>
        <w:rPr>
          <w:rFonts w:hint="eastAsia" w:ascii="仿宋_GB2312" w:hAnsi="仿宋_GB2312" w:eastAsia="仿宋_GB2312" w:cs="仿宋_GB2312"/>
          <w:color w:val="auto"/>
          <w:kern w:val="0"/>
          <w:szCs w:val="32"/>
          <w:highlight w:val="none"/>
          <w:lang w:eastAsia="zh-CN"/>
        </w:rPr>
        <w:t>、所属社区</w:t>
      </w:r>
      <w:r>
        <w:rPr>
          <w:rFonts w:hint="eastAsia" w:ascii="仿宋_GB2312" w:hAnsi="仿宋_GB2312" w:eastAsia="仿宋_GB2312" w:cs="仿宋_GB2312"/>
          <w:color w:val="auto"/>
          <w:kern w:val="0"/>
          <w:szCs w:val="32"/>
          <w:highlight w:val="none"/>
        </w:rPr>
        <w:t>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4.</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《医疗机构申请医保定点承诺书》。</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Cs/>
          <w:color w:val="auto"/>
          <w:szCs w:val="32"/>
          <w:highlight w:val="none"/>
        </w:rPr>
        <w:t>辖区医保分局自收到申请之日起5个工作日内</w:t>
      </w:r>
      <w:r>
        <w:rPr>
          <w:rFonts w:hint="eastAsia" w:ascii="仿宋_GB2312" w:hAnsi="仿宋_GB2312" w:eastAsia="仿宋_GB2312" w:cs="仿宋_GB2312"/>
          <w:bCs/>
          <w:color w:val="auto"/>
          <w:szCs w:val="32"/>
          <w:highlight w:val="none"/>
          <w:lang w:eastAsia="zh-CN"/>
        </w:rPr>
        <w:t>对医疗机构是否符合申请医保定点的范围和条件、是否存在不予受理的情形进行审核，并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医疗机构可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1.医疗机构</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，告知医疗机构评估时间范围和地点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医疗机构提交的申请材料不齐全或存在更正内容的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Cs/>
          <w:color w:val="auto"/>
          <w:szCs w:val="32"/>
          <w:highlight w:val="none"/>
          <w:lang w:eastAsia="zh-CN"/>
        </w:rPr>
        <w:t>医疗机构</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3.医疗机构不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》的医疗机构按照辖区医保分局统一安排，在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。考试人员包括医疗机构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8"/>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医疗机构医疗保障定点管理暂行办法》《深圳市医疗保障办法》等政策文件，及医保服务e站、医保信息化建设、医保基金监管等内容，并根据政策出台、业务开展等实际情况动态更新。</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医疗机构可进入申报系统下载考试操作指引及相关政策文件。</w:t>
      </w:r>
    </w:p>
    <w:p>
      <w:pPr>
        <w:pStyle w:val="8"/>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8"/>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8"/>
        <w:spacing w:line="560" w:lineRule="exact"/>
        <w:ind w:firstLine="632" w:firstLineChars="200"/>
        <w:rPr>
          <w:rFonts w:hint="eastAsia" w:ascii="楷体_GB2312" w:hAnsi="楷体_GB2312" w:eastAsia="楷体_GB2312" w:cs="楷体_GB2312"/>
          <w:b/>
          <w:bCs/>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8"/>
        <w:spacing w:line="560" w:lineRule="exact"/>
        <w:ind w:firstLine="632"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医保管理人员考核时限为</w:t>
      </w:r>
      <w:r>
        <w:rPr>
          <w:rFonts w:hint="eastAsia" w:ascii="仿宋_GB2312" w:hAnsi="仿宋_GB2312" w:eastAsia="仿宋_GB2312" w:cs="仿宋_GB2312"/>
          <w:color w:val="auto"/>
          <w:kern w:val="0"/>
          <w:sz w:val="32"/>
          <w:szCs w:val="32"/>
          <w:highlight w:val="none"/>
          <w:lang w:val="en-US" w:eastAsia="zh-CN"/>
        </w:rPr>
        <w:t>受理审核通过之日起3个月内，</w:t>
      </w:r>
      <w:r>
        <w:rPr>
          <w:rFonts w:hint="eastAsia" w:ascii="仿宋_GB2312" w:hAnsi="仿宋_GB2312" w:eastAsia="仿宋_GB2312" w:cs="仿宋_GB2312"/>
          <w:b w:val="0"/>
          <w:bCs w:val="0"/>
          <w:color w:val="auto"/>
          <w:kern w:val="0"/>
          <w:szCs w:val="32"/>
          <w:highlight w:val="none"/>
          <w:lang w:eastAsia="zh-CN"/>
        </w:rPr>
        <w:t>医疗机构因自身原因未在上述规定时限内参加集中考试的，</w:t>
      </w:r>
      <w:r>
        <w:rPr>
          <w:rFonts w:hint="eastAsia" w:ascii="仿宋_GB2312" w:hAnsi="仿宋_GB2312" w:eastAsia="仿宋_GB2312" w:cs="仿宋_GB2312"/>
          <w:color w:val="auto"/>
          <w:szCs w:val="32"/>
          <w:highlight w:val="none"/>
          <w:lang w:val="en"/>
        </w:rPr>
        <w:t>视为自愿放弃当次申请</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 w:val="32"/>
          <w:szCs w:val="32"/>
          <w:highlight w:val="none"/>
          <w:lang w:val="en-US" w:eastAsia="zh-CN"/>
        </w:rPr>
        <w:t>医疗机构自</w:t>
      </w:r>
      <w:r>
        <w:rPr>
          <w:rFonts w:hint="eastAsia" w:ascii="仿宋_GB2312" w:hAnsi="仿宋_GB2312" w:eastAsia="仿宋_GB2312" w:cs="仿宋_GB2312"/>
          <w:color w:val="auto"/>
          <w:kern w:val="0"/>
          <w:sz w:val="32"/>
          <w:szCs w:val="32"/>
          <w:highlight w:val="none"/>
          <w:lang w:val="en-US" w:eastAsia="zh-CN"/>
        </w:rPr>
        <w:t>受理审核通过之日</w:t>
      </w:r>
      <w:r>
        <w:rPr>
          <w:rFonts w:hint="eastAsia" w:ascii="仿宋_GB2312" w:hAnsi="仿宋_GB2312" w:eastAsia="仿宋_GB2312" w:cs="仿宋_GB2312"/>
          <w:color w:val="auto"/>
          <w:sz w:val="32"/>
          <w:szCs w:val="32"/>
          <w:highlight w:val="none"/>
          <w:lang w:val="en-US" w:eastAsia="zh-CN"/>
        </w:rPr>
        <w:t>至</w:t>
      </w:r>
      <w:r>
        <w:rPr>
          <w:rFonts w:hint="eastAsia" w:ascii="仿宋_GB2312" w:hAnsi="仿宋_GB2312" w:eastAsia="仿宋_GB2312" w:cs="仿宋_GB2312"/>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五、考察评估</w:t>
      </w:r>
      <w:bookmarkEnd w:id="0"/>
      <w:r>
        <w:rPr>
          <w:rFonts w:hint="eastAsia" w:ascii="黑体" w:hAnsi="黑体" w:eastAsia="黑体" w:cs="黑体"/>
          <w:b w:val="0"/>
          <w:bCs w:val="0"/>
          <w:color w:val="auto"/>
          <w:kern w:val="0"/>
          <w:sz w:val="32"/>
          <w:szCs w:val="32"/>
          <w:highlight w:val="none"/>
          <w:lang w:val="en-US" w:eastAsia="zh-CN"/>
        </w:rPr>
        <w:t>和现场复核</w:t>
      </w:r>
    </w:p>
    <w:p>
      <w:pPr>
        <w:pStyle w:val="16"/>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16"/>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考核合格的医疗机构按照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》准备好材料原件、加盖公章的复印件及材料电子版（具体要求详见附件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16"/>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医疗机构按辖区医保分局通知将配合评估材料电子版上传至申报系统进行初核。材料齐全的，辖区医保分局在告知的评估时间范围内到医疗机构进行现场核查，填写《深圳市新增定点医疗机构评估表》，医疗机构负责人签字盖章确认，并收取加盖公章的配合评估材料复印件；材料不全的，退回医疗机构补齐相关材料。</w:t>
      </w:r>
    </w:p>
    <w:p>
      <w:pPr>
        <w:pStyle w:val="8"/>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医疗机构按辖区医保分局通知将配合评估材料电子版上传至申报系统进行初核。材料齐全的，辖区医保分局在告知的评估时间范围内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kern w:val="0"/>
          <w:szCs w:val="32"/>
          <w:highlight w:val="none"/>
        </w:rPr>
        <w:t>医疗机构携带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深圳市新增定点医疗机构评估表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Times New Roman" w:hAnsi="Times New Roman" w:eastAsia="仿宋_GB2312" w:cs="Times New Roman"/>
          <w:bCs/>
          <w:color w:val="auto"/>
          <w:sz w:val="32"/>
          <w:szCs w:val="32"/>
          <w:highlight w:val="none"/>
          <w:lang w:eastAsia="zh-CN"/>
        </w:rPr>
        <w:t>医疗</w:t>
      </w:r>
      <w:r>
        <w:rPr>
          <w:rFonts w:hint="eastAsia" w:ascii="Times New Roman" w:hAnsi="Times New Roman" w:eastAsia="仿宋_GB2312" w:cs="Times New Roman"/>
          <w:bCs/>
          <w:color w:val="auto"/>
          <w:sz w:val="32"/>
          <w:szCs w:val="32"/>
          <w:highlight w:val="none"/>
        </w:rPr>
        <w:t>机构</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；材料不全的，退回医疗机构补齐相关材料。</w:t>
      </w:r>
    </w:p>
    <w:p>
      <w:pPr>
        <w:pStyle w:val="8"/>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16"/>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医疗机构是否符合新增定点及相关行业主管部门要求进行现场核查，并将复核中发现的问题反馈辖区医保分局。</w:t>
      </w:r>
    </w:p>
    <w:p>
      <w:pPr>
        <w:pStyle w:val="8"/>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w:t>
      </w:r>
      <w:r>
        <w:rPr>
          <w:rFonts w:hint="eastAsia" w:ascii="仿宋_GB2312" w:hAnsi="仿宋_GB2312" w:eastAsia="仿宋_GB2312" w:cs="仿宋_GB2312"/>
          <w:color w:val="auto"/>
          <w:kern w:val="0"/>
          <w:szCs w:val="32"/>
          <w:highlight w:val="none"/>
          <w:lang w:eastAsia="zh-CN"/>
        </w:rPr>
        <w:t>考察</w:t>
      </w:r>
      <w:r>
        <w:rPr>
          <w:rFonts w:hint="eastAsia" w:ascii="仿宋_GB2312" w:hAnsi="仿宋_GB2312" w:eastAsia="仿宋_GB2312" w:cs="仿宋_GB2312"/>
          <w:color w:val="auto"/>
          <w:kern w:val="0"/>
          <w:szCs w:val="32"/>
          <w:highlight w:val="none"/>
        </w:rPr>
        <w:t>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形成初步评估意见。初步评估合格的，医保部门按流程组织开展系统评估</w:t>
      </w:r>
      <w:r>
        <w:rPr>
          <w:rFonts w:hint="eastAsia" w:ascii="仿宋_GB2312" w:hAnsi="仿宋_GB2312" w:eastAsia="仿宋_GB2312" w:cs="仿宋_GB2312"/>
          <w:color w:val="auto"/>
          <w:kern w:val="0"/>
          <w:szCs w:val="32"/>
          <w:highlight w:val="none"/>
          <w:lang w:eastAsia="zh-CN"/>
        </w:rPr>
        <w:t>。</w:t>
      </w:r>
    </w:p>
    <w:p>
      <w:pPr>
        <w:pStyle w:val="8"/>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8"/>
        <w:spacing w:line="560" w:lineRule="exact"/>
        <w:ind w:firstLine="632" w:firstLineChars="200"/>
        <w:jc w:val="both"/>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医疗机构被退回补充配合评估材料的，</w:t>
      </w:r>
      <w:r>
        <w:rPr>
          <w:rFonts w:hint="eastAsia" w:ascii="仿宋_GB2312" w:hAnsi="仿宋_GB2312" w:eastAsia="仿宋_GB2312" w:cs="仿宋_GB2312"/>
          <w:color w:val="auto"/>
          <w:sz w:val="32"/>
          <w:szCs w:val="32"/>
          <w:highlight w:val="none"/>
          <w:lang w:eastAsia="zh-CN"/>
        </w:rPr>
        <w:t>应自取得医保管理人员考核合格结果之日起</w:t>
      </w:r>
      <w:r>
        <w:rPr>
          <w:rFonts w:hint="eastAsia" w:ascii="仿宋_GB2312" w:hAnsi="仿宋_GB2312" w:eastAsia="仿宋_GB2312" w:cs="仿宋_GB2312"/>
          <w:bCs/>
          <w:color w:val="auto"/>
          <w:kern w:val="0"/>
          <w:szCs w:val="32"/>
          <w:highlight w:val="none"/>
          <w:lang w:val="en-US" w:eastAsia="zh-CN"/>
        </w:rPr>
        <w:t>3个月</w:t>
      </w:r>
      <w:r>
        <w:rPr>
          <w:rFonts w:hint="eastAsia" w:ascii="仿宋_GB2312" w:hAnsi="仿宋_GB2312" w:eastAsia="仿宋_GB2312" w:cs="仿宋_GB2312"/>
          <w:bCs/>
          <w:color w:val="auto"/>
          <w:kern w:val="0"/>
          <w:szCs w:val="32"/>
          <w:highlight w:val="none"/>
        </w:rPr>
        <w:t>内</w:t>
      </w:r>
      <w:r>
        <w:rPr>
          <w:rFonts w:hint="eastAsia" w:ascii="仿宋_GB2312" w:hAnsi="仿宋_GB2312" w:eastAsia="仿宋_GB2312" w:cs="仿宋_GB2312"/>
          <w:color w:val="auto"/>
          <w:kern w:val="0"/>
          <w:szCs w:val="32"/>
          <w:highlight w:val="none"/>
          <w:lang w:eastAsia="zh-CN"/>
        </w:rPr>
        <w:t>未补齐相关材料</w:t>
      </w:r>
      <w:r>
        <w:rPr>
          <w:rFonts w:hint="eastAsia" w:ascii="仿宋_GB2312" w:hAnsi="仿宋_GB2312" w:eastAsia="仿宋_GB2312" w:cs="仿宋_GB2312"/>
          <w:bCs/>
          <w:color w:val="auto"/>
          <w:kern w:val="0"/>
          <w:szCs w:val="32"/>
          <w:highlight w:val="none"/>
          <w:lang w:val="en-US" w:eastAsia="zh-CN"/>
        </w:rPr>
        <w:t>的</w:t>
      </w:r>
      <w:r>
        <w:rPr>
          <w:rFonts w:hint="eastAsia" w:ascii="仿宋_GB2312" w:hAnsi="仿宋_GB2312" w:eastAsia="仿宋_GB2312" w:cs="仿宋_GB2312"/>
          <w:bCs/>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bCs/>
          <w:color w:val="auto"/>
          <w:kern w:val="0"/>
          <w:szCs w:val="32"/>
          <w:highlight w:val="none"/>
          <w:lang w:val="en"/>
        </w:rPr>
        <w:t>视为自愿放弃当次申请</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医疗机构补充配合评估材料时间不计入评估时限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8"/>
        <w:spacing w:line="560" w:lineRule="exact"/>
        <w:ind w:firstLine="632" w:firstLineChars="200"/>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六、系统评估</w:t>
      </w:r>
    </w:p>
    <w:p>
      <w:pPr>
        <w:pStyle w:val="16"/>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初步评估合格的医疗</w:t>
      </w:r>
      <w:r>
        <w:rPr>
          <w:rFonts w:hint="eastAsia" w:ascii="仿宋_GB2312" w:hAnsi="仿宋_GB2312" w:eastAsia="仿宋_GB2312" w:cs="仿宋_GB2312"/>
          <w:color w:val="auto"/>
          <w:sz w:val="32"/>
          <w:szCs w:val="32"/>
          <w:highlight w:val="none"/>
          <w:u w:val="none"/>
          <w:lang w:val="zh-CN" w:eastAsia="zh-CN"/>
        </w:rPr>
        <w:t>机</w:t>
      </w:r>
      <w:r>
        <w:rPr>
          <w:rFonts w:hint="eastAsia" w:ascii="仿宋_GB2312" w:hAnsi="仿宋_GB2312" w:eastAsia="仿宋_GB2312" w:cs="仿宋_GB2312"/>
          <w:b w:val="0"/>
          <w:bCs w:val="0"/>
          <w:color w:val="auto"/>
          <w:kern w:val="0"/>
          <w:sz w:val="32"/>
          <w:szCs w:val="32"/>
          <w:highlight w:val="none"/>
          <w:u w:val="none"/>
          <w:lang w:val="zh-CN" w:eastAsia="zh-CN" w:bidi="ar-SA"/>
        </w:rPr>
        <w:t>构收到辖区医保分局通知后，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接入医保专网后，医疗机构按照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医疗机构自收到辖区医保分局通知之日起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，医疗机构因自身原因未收到通知的，或收到通知后未在规定时限内未完成的，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16"/>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七、确认评估结果</w:t>
      </w:r>
    </w:p>
    <w:bookmarkEnd w:id="1"/>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16"/>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16"/>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深圳市新增定点医疗机构评估不合格告知书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告知医疗机构</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议。自</w:t>
      </w:r>
      <w:r>
        <w:rPr>
          <w:rFonts w:hint="eastAsia" w:ascii="仿宋_GB2312" w:hAnsi="仿宋_GB2312" w:eastAsia="仿宋_GB2312" w:cs="仿宋_GB2312"/>
          <w:bCs/>
          <w:color w:val="auto"/>
          <w:sz w:val="32"/>
          <w:szCs w:val="32"/>
          <w:highlight w:val="none"/>
          <w:lang w:val="en-US" w:eastAsia="zh-CN"/>
        </w:rPr>
        <w:t>初次评估结果送达之日起</w:t>
      </w:r>
      <w:r>
        <w:rPr>
          <w:rFonts w:hint="eastAsia" w:ascii="仿宋_GB2312" w:hAnsi="仿宋_GB2312" w:eastAsia="仿宋_GB2312" w:cs="仿宋_GB2312"/>
          <w:bCs/>
          <w:color w:val="auto"/>
          <w:sz w:val="32"/>
          <w:szCs w:val="32"/>
          <w:highlight w:val="none"/>
          <w:lang w:eastAsia="zh-CN"/>
        </w:rPr>
        <w:t>，医疗机构整改</w:t>
      </w:r>
      <w:r>
        <w:rPr>
          <w:rFonts w:hint="eastAsia" w:ascii="仿宋_GB2312" w:hAnsi="仿宋_GB2312" w:eastAsia="仿宋_GB2312" w:cs="仿宋_GB2312"/>
          <w:bCs/>
          <w:color w:val="auto"/>
          <w:sz w:val="32"/>
          <w:szCs w:val="32"/>
          <w:highlight w:val="none"/>
          <w:lang w:val="en-US" w:eastAsia="zh-CN"/>
        </w:rPr>
        <w:t>3个月</w:t>
      </w:r>
      <w:r>
        <w:rPr>
          <w:rFonts w:hint="eastAsia" w:ascii="仿宋_GB2312" w:hAnsi="仿宋_GB2312" w:eastAsia="仿宋_GB2312" w:cs="仿宋_GB2312"/>
          <w:bCs/>
          <w:color w:val="auto"/>
          <w:sz w:val="32"/>
          <w:szCs w:val="32"/>
          <w:highlight w:val="none"/>
          <w:lang w:eastAsia="zh-CN"/>
        </w:rPr>
        <w:t>后可再次提交评估申请，</w:t>
      </w:r>
      <w:r>
        <w:rPr>
          <w:rFonts w:hint="eastAsia" w:ascii="仿宋_GB2312" w:hAnsi="仿宋_GB2312" w:eastAsia="仿宋_GB2312" w:cs="仿宋_GB2312"/>
          <w:bCs/>
          <w:color w:val="auto"/>
          <w:sz w:val="32"/>
          <w:szCs w:val="32"/>
          <w:highlight w:val="none"/>
          <w:lang w:val="en-US" w:eastAsia="zh-CN"/>
        </w:rPr>
        <w:t>6个月</w:t>
      </w:r>
      <w:r>
        <w:rPr>
          <w:rFonts w:hint="eastAsia" w:ascii="仿宋_GB2312" w:hAnsi="仿宋_GB2312" w:eastAsia="仿宋_GB2312" w:cs="仿宋_GB2312"/>
          <w:bCs/>
          <w:color w:val="auto"/>
          <w:sz w:val="32"/>
          <w:szCs w:val="32"/>
          <w:highlight w:val="none"/>
          <w:lang w:eastAsia="zh-CN"/>
        </w:rPr>
        <w:t>内未再次提交评估申请的，视为放弃此次申请。分局收到其申请后，按照前述程序再次组织医保管理人员考核、考察评估、现场复核及系统评估，再次评估不合格的，自再次评估结果送达之日起，1年内不得再申请医保定点。</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八</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的医疗</w:t>
      </w:r>
      <w:r>
        <w:rPr>
          <w:rFonts w:hint="eastAsia" w:ascii="仿宋_GB2312" w:hAnsi="仿宋_GB2312" w:eastAsia="仿宋_GB2312" w:cs="仿宋_GB2312"/>
          <w:color w:val="auto"/>
          <w:szCs w:val="32"/>
          <w:highlight w:val="none"/>
          <w:lang w:val="zh-CN"/>
        </w:rPr>
        <w:t>机构，</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不影响医保定点资格确认的，确定为新增定点医疗机构</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通过公示的医疗机构</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签订协议的，视为自动放弃。定点医疗机构履行服务协议期间有新增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6</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医疗</w:t>
      </w:r>
      <w:r>
        <w:rPr>
          <w:rFonts w:hint="eastAsia" w:ascii="仿宋_GB2312" w:eastAsia="仿宋_GB2312"/>
          <w:color w:val="auto"/>
          <w:szCs w:val="32"/>
          <w:highlight w:val="none"/>
        </w:rPr>
        <w:t>机构</w:t>
      </w:r>
      <w:r>
        <w:rPr>
          <w:rFonts w:hint="eastAsia" w:ascii="仿宋_GB2312" w:eastAsia="仿宋_GB2312"/>
          <w:color w:val="auto"/>
          <w:szCs w:val="32"/>
          <w:highlight w:val="none"/>
          <w:lang w:eastAsia="zh-CN"/>
        </w:rPr>
        <w:t>签订协议后</w:t>
      </w:r>
      <w:r>
        <w:rPr>
          <w:rFonts w:hint="eastAsia" w:ascii="仿宋_GB2312" w:eastAsia="仿宋_GB2312"/>
          <w:color w:val="auto"/>
          <w:szCs w:val="32"/>
          <w:highlight w:val="none"/>
        </w:rPr>
        <w:t>及时完成维护信息、</w:t>
      </w:r>
      <w:r>
        <w:rPr>
          <w:rFonts w:hint="eastAsia" w:ascii="仿宋_GB2312" w:hAnsi="仿宋_GB2312" w:eastAsia="仿宋_GB2312" w:cs="仿宋_GB2312"/>
          <w:color w:val="auto"/>
          <w:kern w:val="0"/>
          <w:szCs w:val="32"/>
          <w:highlight w:val="none"/>
        </w:rPr>
        <w:t>价格档次告知</w:t>
      </w:r>
      <w:r>
        <w:rPr>
          <w:rFonts w:hint="eastAsia" w:ascii="仿宋_GB2312" w:hAnsi="仿宋_GB2312" w:eastAsia="仿宋_GB2312" w:cs="仿宋_GB2312"/>
          <w:color w:val="auto"/>
          <w:kern w:val="0"/>
          <w:szCs w:val="32"/>
          <w:highlight w:val="none"/>
          <w:lang w:eastAsia="zh-CN"/>
        </w:rPr>
        <w:t>、</w:t>
      </w:r>
      <w:r>
        <w:rPr>
          <w:rFonts w:hint="eastAsia" w:ascii="仿宋_GB2312" w:eastAsia="仿宋_GB2312"/>
          <w:color w:val="auto"/>
          <w:szCs w:val="32"/>
          <w:highlight w:val="none"/>
        </w:rPr>
        <w:t>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e站、悬挂医保定点标识标牌等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7</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九、</w:t>
      </w:r>
      <w:r>
        <w:rPr>
          <w:rFonts w:hint="eastAsia" w:ascii="黑体" w:hAnsi="黑体" w:eastAsia="黑体" w:cs="黑体"/>
          <w:b w:val="0"/>
          <w:bCs w:val="0"/>
          <w:color w:val="auto"/>
          <w:kern w:val="2"/>
          <w:sz w:val="32"/>
          <w:szCs w:val="32"/>
          <w:highlight w:val="none"/>
          <w:lang w:val="en-US" w:eastAsia="zh-CN" w:bidi="ar-SA"/>
        </w:rPr>
        <w:t>动态管理机制</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医疗机构设立6个月政策辅导期。政策辅导期内除区域医疗中心外，原则上不开通异地就医医保结算服务。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评估、现场复核和系统评估等过程中，医疗机构存在以煽动群众、歪曲事实等方式影响审核评估的，将按照相关法律、法规规定处理；</w:t>
      </w:r>
      <w:r>
        <w:rPr>
          <w:rFonts w:hint="eastAsia" w:ascii="仿宋_GB2312" w:hAnsi="仿宋_GB2312" w:eastAsia="仿宋_GB2312" w:cs="仿宋_GB2312"/>
          <w:b w:val="0"/>
          <w:bCs w:val="0"/>
          <w:color w:val="auto"/>
          <w:kern w:val="0"/>
          <w:szCs w:val="32"/>
          <w:highlight w:val="none"/>
          <w:lang w:eastAsia="zh-CN"/>
        </w:rPr>
        <w:t>医疗机构存在弄虚作假行为的，辖区医保分局按所在不同阶段分类处理：未签订协议的，分局出具《不予受理回执》或《评估不合格告知书》，3年内不再受理该医疗机构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（一）医疗机构</w:t>
      </w:r>
      <w:r>
        <w:rPr>
          <w:rFonts w:hint="eastAsia" w:ascii="仿宋_GB2312" w:hAnsi="仿宋_GB2312" w:eastAsia="仿宋_GB2312" w:cs="仿宋_GB2312"/>
          <w:b w:val="0"/>
          <w:bCs w:val="0"/>
          <w:color w:val="auto"/>
          <w:kern w:val="0"/>
          <w:szCs w:val="32"/>
          <w:highlight w:val="none"/>
          <w:lang w:val="en-US" w:eastAsia="zh-CN"/>
        </w:rPr>
        <w:t>自受理审核通过之日</w:t>
      </w:r>
      <w:r>
        <w:rPr>
          <w:rFonts w:hint="eastAsia" w:ascii="仿宋_GB2312" w:hAnsi="仿宋_GB2312" w:eastAsia="仿宋_GB2312" w:cs="仿宋_GB2312"/>
          <w:b w:val="0"/>
          <w:bCs w:val="0"/>
          <w:color w:val="auto"/>
          <w:kern w:val="0"/>
          <w:szCs w:val="32"/>
          <w:highlight w:val="none"/>
          <w:lang w:eastAsia="zh-CN"/>
        </w:rPr>
        <w:t>起至签订服务协议</w:t>
      </w:r>
      <w:r>
        <w:rPr>
          <w:rFonts w:hint="eastAsia" w:ascii="仿宋_GB2312" w:hAnsi="仿宋_GB2312" w:eastAsia="仿宋_GB2312" w:cs="仿宋_GB2312"/>
          <w:color w:val="auto"/>
          <w:kern w:val="0"/>
          <w:szCs w:val="32"/>
          <w:highlight w:val="none"/>
          <w:lang w:eastAsia="zh-CN"/>
        </w:rPr>
        <w:t>，未在规定时限内完成医保管理人员考核、</w:t>
      </w:r>
      <w:r>
        <w:rPr>
          <w:rFonts w:hint="eastAsia" w:ascii="仿宋_GB2312" w:hAnsi="仿宋_GB2312" w:eastAsia="仿宋_GB2312" w:cs="仿宋_GB2312"/>
          <w:color w:val="auto"/>
          <w:kern w:val="0"/>
          <w:szCs w:val="32"/>
          <w:highlight w:val="none"/>
          <w:lang w:val="en-US" w:eastAsia="zh-CN"/>
        </w:rPr>
        <w:t>医保专网接入和系统接口开发改造等</w:t>
      </w:r>
      <w:r>
        <w:rPr>
          <w:rFonts w:hint="eastAsia" w:ascii="仿宋_GB2312" w:hAnsi="仿宋_GB2312" w:eastAsia="仿宋_GB2312" w:cs="仿宋_GB2312"/>
          <w:color w:val="auto"/>
          <w:kern w:val="0"/>
          <w:szCs w:val="32"/>
          <w:highlight w:val="none"/>
          <w:lang w:eastAsia="zh-CN"/>
        </w:rPr>
        <w:t>事项，或因自身原因主动申请撤回的，自逾期或撤回之日起</w:t>
      </w:r>
      <w:r>
        <w:rPr>
          <w:rFonts w:hint="eastAsia" w:ascii="仿宋_GB2312" w:hAnsi="仿宋_GB2312" w:eastAsia="仿宋_GB2312" w:cs="仿宋_GB2312"/>
          <w:color w:val="auto"/>
          <w:kern w:val="0"/>
          <w:szCs w:val="32"/>
          <w:highlight w:val="none"/>
          <w:lang w:val="en-US" w:eastAsia="zh-CN"/>
        </w:rPr>
        <w:t>3个月后方能再次申请医保定点。</w:t>
      </w:r>
    </w:p>
    <w:p>
      <w:pPr>
        <w:pStyle w:val="8"/>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二）定点医疗机构新增院区（注册地址不同）或新增经营场所且与原主体经营地址地理位置不连续的，新增院区或新增经营场所应正式运营至少3个月后，由新增院区或新增经营场所在辖区医保分局开展现场考察，现场考察符合定点条件的开通新增院区或新增经营场所的医保服务。</w:t>
      </w:r>
    </w:p>
    <w:p>
      <w:pPr>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eastAsia="zh-CN"/>
        </w:rPr>
        <w:t>（三）引导培育社区的</w:t>
      </w:r>
      <w:r>
        <w:rPr>
          <w:rFonts w:hint="eastAsia" w:ascii="仿宋_GB2312" w:hAnsi="仿宋_GB2312" w:eastAsia="仿宋_GB2312" w:cs="仿宋_GB2312"/>
          <w:color w:val="auto"/>
          <w:sz w:val="32"/>
          <w:szCs w:val="32"/>
          <w:highlight w:val="none"/>
          <w:lang w:eastAsia="zh-CN"/>
        </w:rPr>
        <w:t>中医类或口腔类定点基层</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sz w:val="32"/>
          <w:szCs w:val="32"/>
          <w:highlight w:val="none"/>
          <w:lang w:eastAsia="zh-CN"/>
        </w:rPr>
        <w:t>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医疗机构拆分后新增的医疗机构；增加中医或口腔相关诊疗科目；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（五）</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受理的医疗机构申请医疗保障定点申请，按照本指引施行。原《深圳市医疗保险基金管理中心关于印发〈医疗机构申请医疗保障定点指引〉和〈零售药店申请医疗保障定点指引〉的通知》（深医保中心发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1.医疗机构申请医保定点流程图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highlight w:val="none"/>
          <w:lang w:val="en-US" w:eastAsia="zh-CN"/>
        </w:rPr>
        <w:t>录入信息和申请材料具体要求</w:t>
      </w: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7.</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3"/>
        <w:jc w:val="both"/>
        <w:rPr>
          <w:rFonts w:hint="eastAsia" w:ascii="黑体" w:hAnsi="黑体" w:eastAsia="黑体" w:cs="黑体"/>
          <w:b w:val="0"/>
          <w:bCs w:val="0"/>
          <w:color w:val="auto"/>
          <w:kern w:val="0"/>
          <w:szCs w:val="32"/>
          <w:highlight w:val="none"/>
          <w:lang w:val="en-US" w:eastAsia="zh-CN"/>
        </w:rPr>
      </w:pPr>
    </w:p>
    <w:p>
      <w:pPr>
        <w:rPr>
          <w:rFonts w:hint="eastAsia"/>
          <w:lang w:val="en-US" w:eastAsia="zh-CN"/>
        </w:rPr>
      </w:pPr>
    </w:p>
    <w:p>
      <w:pPr>
        <w:pStyle w:val="2"/>
        <w:rPr>
          <w:rFonts w:hint="eastAsia"/>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医疗机构申请医保定点流程图</w:t>
      </w:r>
    </w:p>
    <w:p>
      <w:pPr>
        <w:spacing w:line="560" w:lineRule="exact"/>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2336" behindDoc="0" locked="0" layoutInCell="1" allowOverlap="1">
            <wp:simplePos x="0" y="0"/>
            <wp:positionH relativeFrom="column">
              <wp:posOffset>15240</wp:posOffset>
            </wp:positionH>
            <wp:positionV relativeFrom="paragraph">
              <wp:posOffset>372110</wp:posOffset>
            </wp:positionV>
            <wp:extent cx="5611495" cy="5872480"/>
            <wp:effectExtent l="0" t="0" r="12065" b="10160"/>
            <wp:wrapSquare wrapText="bothSides"/>
            <wp:docPr id="1" name="图片 1" descr="指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指引流程图"/>
                    <pic:cNvPicPr>
                      <a:picLocks noChangeAspect="1"/>
                    </pic:cNvPicPr>
                  </pic:nvPicPr>
                  <pic:blipFill>
                    <a:blip r:embed="rId7"/>
                    <a:stretch>
                      <a:fillRect/>
                    </a:stretch>
                  </pic:blipFill>
                  <pic:spPr>
                    <a:xfrm>
                      <a:off x="0" y="0"/>
                      <a:ext cx="5611495" cy="587248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16"/>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定点医疗机构代码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，生成授权文件，角色类型选择“医疗机构维护人员”角色，点击【生成授权文书并下载】，系统会自动弹出生成授权文书页面，另存到本地电脑，授权文书需打印及加盖单位公章，并扫描成PDF格式。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，上传授权文件，将PDF格式授权文书上传。所有带*号的内容为必填项（如图1-1）。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内设医疗机构无统一社会信用代码的，选择“无”系统会自动提示需上传“说明材料”、“本单位医保协议”，上传附件为PDF格式，内容格式自拟并加盖单位公章。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医院及社康角色类型选择“医疗机构维护人员”，还需勾选“医疗机构维护、医师信息维护、护士信息维护”（如图1-2）。</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72405" cy="2226310"/>
            <wp:effectExtent l="0" t="0" r="635" b="1397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8"/>
                    <a:stretch>
                      <a:fillRect/>
                    </a:stretch>
                  </pic:blipFill>
                  <pic:spPr>
                    <a:xfrm>
                      <a:off x="0" y="0"/>
                      <a:ext cx="5272405" cy="2226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32"/>
          <w:szCs w:val="32"/>
          <w:highlight w:val="none"/>
        </w:rPr>
        <w:drawing>
          <wp:inline distT="0" distB="0" distL="114300" distR="114300">
            <wp:extent cx="5264150" cy="2334895"/>
            <wp:effectExtent l="0" t="0" r="8890" b="1206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9"/>
                    <a:stretch>
                      <a:fillRect/>
                    </a:stretch>
                  </pic:blipFill>
                  <pic:spPr>
                    <a:xfrm>
                      <a:off x="0" y="0"/>
                      <a:ext cx="5264150" cy="2334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1.授权前应确保维护的信息准确，在上传授权文件前发现填写信息有错误的，需重新修改维护后点击生成授权文书并上传。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2.已经授权且被医保部门审核过的定点医疗机构，不支持重复注册该定点医疗机构的信息。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3.上传授权文件系统无法正常识别的，可点击“附件无法识别时，如何操作？”链接查看帮助。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4.所属地区须按照定点医疗机构实际所在的医保业务区划进行维护，方便后续管理及查询账号。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5.部队医疗机构进行注册时，应选择“部队”选项，则《医疗机构执业许可证》可不维护。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（二）医疗机构信息维护授权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注册信息完成后，登录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点击【医疗机构维护】-【医疗机构信息维护】-【新增】进行定点医疗机构信息维护授权（如图1-3）。</w:t>
      </w:r>
    </w:p>
    <w:p>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1135" cy="1032510"/>
            <wp:effectExtent l="0" t="0" r="1905" b="381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0"/>
                    <a:stretch>
                      <a:fillRect/>
                    </a:stretch>
                  </pic:blipFill>
                  <pic:spPr>
                    <a:xfrm>
                      <a:off x="0" y="0"/>
                      <a:ext cx="5271135" cy="10325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，填写授权对象，系统有默认信息的无需填写，系统没有默认信息的需填写。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，选择授权医疗机构，医疗机构列表栏空白处录入需要授权维护的定点医疗机构统一社会信用代码、机构名称或《医疗机构执业许可证》登记号等其中任意一项，点击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1"/>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查询（如图1-4）。选择需要授权维护的定点医疗机构，点击【生成授权文书并下载】（如图1-5），系统会自动弹出生成授权文书页面，另存到本地电脑，授权文书需打印及加盖单位公章，并扫描生成PDF格式。</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430020"/>
            <wp:effectExtent l="0" t="0" r="13970" b="254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12"/>
                    <a:stretch>
                      <a:fillRect/>
                    </a:stretch>
                  </pic:blipFill>
                  <pic:spPr>
                    <a:xfrm>
                      <a:off x="0" y="0"/>
                      <a:ext cx="5274310" cy="1430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541270"/>
            <wp:effectExtent l="0" t="0" r="13970" b="381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3"/>
                    <a:stretch>
                      <a:fillRect/>
                    </a:stretch>
                  </pic:blipFill>
                  <pic:spPr>
                    <a:xfrm>
                      <a:off x="0" y="0"/>
                      <a:ext cx="5274310" cy="25412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-6），上传PDF格式授权文书并确认（如图1-7）。上传授权文书时，如遇到系统无法正常识别的，可在右侧的文本框中手动输入授权文书编号，点击【申报】（如图1-8），或点击“附件无法识别时，如何操作？”链接查看帮助。授权文书需保证页面授权文书编号及二维码清晰，否则系统无法正常识别。</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9230" cy="523875"/>
            <wp:effectExtent l="0" t="0" r="3810" b="9525"/>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pic:cNvPicPr>
                      <a:picLocks noChangeAspect="1"/>
                    </pic:cNvPicPr>
                  </pic:nvPicPr>
                  <pic:blipFill>
                    <a:blip r:embed="rId14"/>
                    <a:stretch>
                      <a:fillRect/>
                    </a:stretch>
                  </pic:blipFill>
                  <pic:spPr>
                    <a:xfrm>
                      <a:off x="0" y="0"/>
                      <a:ext cx="5269230" cy="5238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73960"/>
            <wp:effectExtent l="0" t="0" r="13970" b="1016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15"/>
                    <a:stretch>
                      <a:fillRect/>
                    </a:stretch>
                  </pic:blipFill>
                  <pic:spPr>
                    <a:xfrm>
                      <a:off x="0" y="0"/>
                      <a:ext cx="5274310" cy="24739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179195"/>
            <wp:effectExtent l="0" t="0" r="13970" b="9525"/>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16"/>
                    <a:stretch>
                      <a:fillRect/>
                    </a:stretch>
                  </pic:blipFill>
                  <pic:spPr>
                    <a:xfrm>
                      <a:off x="0" y="0"/>
                      <a:ext cx="5274310" cy="1179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1.在医疗机构列表搜索框中输入统一社会信用代码、机构名称、《医疗机构执业许可证》登记号等信息，不能被系统默认检索到时，可以在页面左下角处点击【新增】自行添加。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机构信息如提示机构信息已存在，同时在授权页面搜索栏中也查询不到相应机构信息的，代表该机构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4.新增机构信息时，系统会根据机构全称+统一社会信用代码+《医疗机构许可证》登记号三个条件进行重复性判断，应严格按照证照上的单位名称及证件号码进行填写。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授权】进行确认绑定（如图1-9）。输入旧版用户账号、密码确认绑定（如图1-10），绑定通过后用户授权列表页面会显示已绑定验证通过的账号角色（如图1-11）。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7"/>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8"/>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图1-10</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9"/>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如图1-12）</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20"/>
                    <a:stretch>
                      <a:fillRect/>
                    </a:stretch>
                  </pic:blipFill>
                  <pic:spPr>
                    <a:xfrm>
                      <a:off x="0" y="0"/>
                      <a:ext cx="5268595" cy="201739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w:t>
      </w:r>
      <w:r>
        <w:rPr>
          <w:rFonts w:hint="eastAsia" w:ascii="仿宋_GB2312" w:hAnsi="仿宋_GB2312" w:eastAsia="仿宋_GB2312" w:cs="仿宋_GB2312"/>
          <w:color w:val="auto"/>
          <w:sz w:val="32"/>
          <w:szCs w:val="32"/>
          <w:highlight w:val="none"/>
        </w:rPr>
        <w:t>医疗机构无需进行注册授权。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、进行医疗机构信息维护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【医疗机构维护】-【医疗机构信息维护】-【详情】-【维护】，进入信息维护页面维护（如图1-13、图1-14、图1-15）。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872490"/>
            <wp:effectExtent l="0" t="0" r="14605" b="11430"/>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pic:cNvPicPr>
                  </pic:nvPicPr>
                  <pic:blipFill>
                    <a:blip r:embed="rId21"/>
                    <a:stretch>
                      <a:fillRect/>
                    </a:stretch>
                  </pic:blipFill>
                  <pic:spPr>
                    <a:xfrm>
                      <a:off x="0" y="0"/>
                      <a:ext cx="5273675" cy="87249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图1-13</w:t>
      </w:r>
    </w:p>
    <w:p>
      <w:pPr>
        <w:jc w:val="center"/>
        <w:rPr>
          <w:rFonts w:hint="eastAsia" w:ascii="仿宋" w:hAnsi="仿宋" w:eastAsia="仿宋" w:cs="仿宋"/>
          <w:color w:val="auto"/>
          <w:sz w:val="32"/>
          <w:szCs w:val="32"/>
          <w:highlight w:val="none"/>
        </w:rPr>
      </w:pPr>
      <w:r>
        <w:rPr>
          <w:color w:val="auto"/>
          <w:highlight w:val="none"/>
        </w:rPr>
        <w:drawing>
          <wp:inline distT="0" distB="0" distL="114300" distR="114300">
            <wp:extent cx="5272405" cy="2392045"/>
            <wp:effectExtent l="0" t="0" r="635" b="635"/>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
                    <pic:cNvPicPr>
                      <a:picLocks noChangeAspect="1"/>
                    </pic:cNvPicPr>
                  </pic:nvPicPr>
                  <pic:blipFill>
                    <a:blip r:embed="rId22"/>
                    <a:stretch>
                      <a:fillRect/>
                    </a:stretch>
                  </pic:blipFill>
                  <pic:spPr>
                    <a:xfrm>
                      <a:off x="0" y="0"/>
                      <a:ext cx="5272405" cy="23920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图1-14</w:t>
      </w:r>
    </w:p>
    <w:p>
      <w:pPr>
        <w:jc w:val="center"/>
        <w:rPr>
          <w:rFonts w:hint="eastAsia"/>
          <w:color w:val="auto"/>
          <w:highlight w:val="none"/>
          <w:lang w:val="en-US" w:eastAsia="zh-CN"/>
        </w:rPr>
      </w:pPr>
      <w:r>
        <w:rPr>
          <w:color w:val="auto"/>
          <w:highlight w:val="none"/>
        </w:rPr>
        <w:drawing>
          <wp:inline distT="0" distB="0" distL="114300" distR="114300">
            <wp:extent cx="5272405" cy="2012315"/>
            <wp:effectExtent l="0" t="0" r="635" b="1460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pic:cNvPicPr>
                  </pic:nvPicPr>
                  <pic:blipFill>
                    <a:blip r:embed="rId23"/>
                    <a:stretch>
                      <a:fillRect/>
                    </a:stretch>
                  </pic:blipFill>
                  <pic:spPr>
                    <a:xfrm>
                      <a:off x="0" y="0"/>
                      <a:ext cx="5272405" cy="201231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1.法人单位信息</w:t>
      </w:r>
    </w:p>
    <w:tbl>
      <w:tblPr>
        <w:tblStyle w:val="12"/>
        <w:tblW w:w="0" w:type="auto"/>
        <w:jc w:val="center"/>
        <w:tblLayout w:type="fixed"/>
        <w:tblCellMar>
          <w:top w:w="0" w:type="dxa"/>
          <w:left w:w="0" w:type="dxa"/>
          <w:bottom w:w="0" w:type="dxa"/>
          <w:right w:w="0" w:type="dxa"/>
        </w:tblCellMar>
      </w:tblPr>
      <w:tblGrid>
        <w:gridCol w:w="2226"/>
        <w:gridCol w:w="5967"/>
      </w:tblGrid>
      <w:tr>
        <w:tblPrEx>
          <w:tblCellMar>
            <w:top w:w="0" w:type="dxa"/>
            <w:left w:w="0" w:type="dxa"/>
            <w:bottom w:w="0" w:type="dxa"/>
            <w:right w:w="0" w:type="dxa"/>
          </w:tblCellMar>
        </w:tblPrEx>
        <w:trPr>
          <w:trHeight w:val="54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6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法人单位名称</w:t>
            </w:r>
          </w:p>
        </w:tc>
        <w:tc>
          <w:tcPr>
            <w:tcW w:w="59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    维护内容与上传的《事业单位法人证书》、《营业执业》或《民办非企业登记证》正本信息一致，具体可参见页面【示例】图片</w:t>
            </w:r>
          </w:p>
        </w:tc>
      </w:tr>
      <w:tr>
        <w:tblPrEx>
          <w:tblCellMar>
            <w:top w:w="0" w:type="dxa"/>
            <w:left w:w="0" w:type="dxa"/>
            <w:bottom w:w="0" w:type="dxa"/>
            <w:right w:w="0" w:type="dxa"/>
          </w:tblCellMar>
        </w:tblPrEx>
        <w:trPr>
          <w:trHeight w:val="47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96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1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《营业执照》为投资人或负责人的填写《医疗机构执业许可证》上的法定代表人</w:t>
            </w:r>
          </w:p>
        </w:tc>
      </w:tr>
      <w:tr>
        <w:tblPrEx>
          <w:tblCellMar>
            <w:top w:w="0" w:type="dxa"/>
            <w:left w:w="0" w:type="dxa"/>
            <w:bottom w:w="0" w:type="dxa"/>
            <w:right w:w="0" w:type="dxa"/>
          </w:tblCellMar>
        </w:tblPrEx>
        <w:trPr>
          <w:trHeight w:val="78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电子材料</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上传附件《事业单位法人证书》、《营业执业》或《民办非企业登记证》正本</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2.医疗机构执业许可证</w:t>
      </w:r>
    </w:p>
    <w:tbl>
      <w:tblPr>
        <w:tblStyle w:val="12"/>
        <w:tblW w:w="0" w:type="auto"/>
        <w:jc w:val="center"/>
        <w:tblLayout w:type="fixed"/>
        <w:tblCellMar>
          <w:top w:w="0" w:type="dxa"/>
          <w:left w:w="0" w:type="dxa"/>
          <w:bottom w:w="0" w:type="dxa"/>
          <w:right w:w="0" w:type="dxa"/>
        </w:tblCellMar>
      </w:tblPr>
      <w:tblGrid>
        <w:gridCol w:w="2293"/>
        <w:gridCol w:w="5917"/>
      </w:tblGrid>
      <w:tr>
        <w:tblPrEx>
          <w:tblCellMar>
            <w:top w:w="0" w:type="dxa"/>
            <w:left w:w="0" w:type="dxa"/>
            <w:bottom w:w="0" w:type="dxa"/>
            <w:right w:w="0" w:type="dxa"/>
          </w:tblCellMar>
        </w:tblPrEx>
        <w:trPr>
          <w:trHeight w:val="51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9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医疗机构名称</w:t>
            </w:r>
          </w:p>
        </w:tc>
        <w:tc>
          <w:tcPr>
            <w:tcW w:w="59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维护内容与上传的《医疗机构执业许可证》副本信息一致；无《医疗机构执业许可证》的，上传《诊所备案凭证》、《中医诊所备案证》</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主要负责人</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地址</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床位数</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执业许可有效期限</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经营性质</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登记号</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诊疗科目</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19"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9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上传附件《医疗机构执业许可证》副本，有变更登记记录事项的也应上传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3.其它</w:t>
      </w:r>
    </w:p>
    <w:tbl>
      <w:tblPr>
        <w:tblStyle w:val="12"/>
        <w:tblW w:w="0" w:type="auto"/>
        <w:jc w:val="center"/>
        <w:tblLayout w:type="fixed"/>
        <w:tblCellMar>
          <w:top w:w="0" w:type="dxa"/>
          <w:left w:w="0" w:type="dxa"/>
          <w:bottom w:w="0" w:type="dxa"/>
          <w:right w:w="0" w:type="dxa"/>
        </w:tblCellMar>
      </w:tblPr>
      <w:tblGrid>
        <w:gridCol w:w="2580"/>
        <w:gridCol w:w="5630"/>
      </w:tblGrid>
      <w:tr>
        <w:tblPrEx>
          <w:tblCellMar>
            <w:top w:w="0" w:type="dxa"/>
            <w:left w:w="0" w:type="dxa"/>
            <w:bottom w:w="0" w:type="dxa"/>
            <w:right w:w="0" w:type="dxa"/>
          </w:tblCellMar>
        </w:tblPrEx>
        <w:trPr>
          <w:trHeight w:val="51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63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22"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根据医疗机构业务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详细地址</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根据上传的《医疗机构执业许可证》的地址定位</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医疗机构类别</w:t>
            </w:r>
          </w:p>
        </w:tc>
        <w:tc>
          <w:tcPr>
            <w:tcW w:w="5630" w:type="dxa"/>
            <w:tcBorders>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与上传的《医疗机构执业许可证》副本信息一致</w:t>
            </w:r>
          </w:p>
        </w:tc>
      </w:tr>
      <w:tr>
        <w:tblPrEx>
          <w:tblCellMar>
            <w:top w:w="0" w:type="dxa"/>
            <w:left w:w="0" w:type="dxa"/>
            <w:bottom w:w="0" w:type="dxa"/>
            <w:right w:w="0" w:type="dxa"/>
          </w:tblCellMar>
        </w:tblPrEx>
        <w:trPr>
          <w:trHeight w:val="1171"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指医疗机构是否支持通过医保电子凭证进行账户查询、医保业务办理、医保就诊和购药支付等工作</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医院等级</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w:t>
            </w:r>
            <w:r>
              <w:rPr>
                <w:rFonts w:hint="eastAsia" w:ascii="仿宋_GB2312" w:hAnsi="仿宋_GB2312" w:eastAsia="仿宋_GB2312" w:cs="仿宋_GB2312"/>
                <w:color w:val="auto"/>
                <w:sz w:val="24"/>
                <w:szCs w:val="24"/>
                <w:highlight w:val="none"/>
              </w:rPr>
              <w:t>卫生行政部门确定的医院级别</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711"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医院等次</w:t>
            </w:r>
          </w:p>
        </w:tc>
        <w:tc>
          <w:tcPr>
            <w:tcW w:w="5630"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505"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隶属关系</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根据医疗机构的实际情况正确填写</w:t>
            </w:r>
          </w:p>
        </w:tc>
      </w:tr>
      <w:tr>
        <w:tblPrEx>
          <w:tblCellMar>
            <w:top w:w="0" w:type="dxa"/>
            <w:left w:w="0" w:type="dxa"/>
            <w:bottom w:w="0" w:type="dxa"/>
            <w:right w:w="0" w:type="dxa"/>
          </w:tblCellMar>
        </w:tblPrEx>
        <w:trPr>
          <w:trHeight w:val="794" w:hRule="atLeast"/>
          <w:jc w:val="center"/>
        </w:trPr>
        <w:tc>
          <w:tcPr>
            <w:tcW w:w="25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经济类型</w:t>
            </w:r>
          </w:p>
        </w:tc>
        <w:tc>
          <w:tcPr>
            <w:tcW w:w="56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tabs>
                <w:tab w:val="left" w:pos="1255"/>
              </w:tabs>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根据国家标准确定的医疗机构经济类型分类</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630"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填写该医疗机构</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该定点医疗机构的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院办社康</w:t>
            </w:r>
            <w:r>
              <w:rPr>
                <w:rFonts w:hint="eastAsia" w:ascii="仿宋_GB2312" w:hAnsi="仿宋_GB2312" w:eastAsia="仿宋_GB2312" w:cs="仿宋_GB2312"/>
                <w:color w:val="auto"/>
                <w:sz w:val="24"/>
                <w:szCs w:val="24"/>
                <w:highlight w:val="none"/>
              </w:rPr>
              <w:t>填</w:t>
            </w:r>
            <w:r>
              <w:rPr>
                <w:rFonts w:hint="eastAsia" w:ascii="仿宋_GB2312" w:hAnsi="仿宋_GB2312" w:eastAsia="仿宋_GB2312" w:cs="仿宋_GB2312"/>
                <w:color w:val="auto"/>
                <w:sz w:val="24"/>
                <w:szCs w:val="24"/>
                <w:highlight w:val="none"/>
                <w:lang w:val="en-US" w:eastAsia="zh-CN"/>
              </w:rPr>
              <w:t>所属机构的基本存款账户信息</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630" w:type="dxa"/>
            <w:vMerge w:val="continue"/>
            <w:tcBorders>
              <w:left w:val="single" w:color="auto"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630" w:type="dxa"/>
            <w:vMerge w:val="continue"/>
            <w:tcBorders>
              <w:left w:val="single" w:color="auto" w:sz="4" w:space="0"/>
              <w:bottom w:val="single" w:color="000000"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医保办邮箱</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根据该</w:t>
            </w:r>
            <w:r>
              <w:rPr>
                <w:rFonts w:hint="eastAsia" w:ascii="仿宋_GB2312" w:hAnsi="仿宋_GB2312" w:eastAsia="仿宋_GB2312" w:cs="仿宋_GB2312"/>
                <w:color w:val="auto"/>
                <w:sz w:val="24"/>
                <w:szCs w:val="24"/>
                <w:highlight w:val="none"/>
              </w:rPr>
              <w:t>医疗机构</w:t>
            </w:r>
            <w:r>
              <w:rPr>
                <w:rFonts w:hint="eastAsia" w:ascii="仿宋_GB2312" w:hAnsi="仿宋_GB2312" w:eastAsia="仿宋_GB2312" w:cs="仿宋_GB2312"/>
                <w:color w:val="auto"/>
                <w:sz w:val="24"/>
                <w:szCs w:val="24"/>
                <w:highlight w:val="none"/>
                <w:lang w:val="en-US" w:eastAsia="zh-CN"/>
              </w:rPr>
              <w:t>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医保办电话</w:t>
            </w:r>
          </w:p>
        </w:tc>
        <w:tc>
          <w:tcPr>
            <w:tcW w:w="5630"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分管医保院领导电话</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医保办负责人电话</w:t>
            </w:r>
          </w:p>
        </w:tc>
        <w:tc>
          <w:tcPr>
            <w:tcW w:w="5630"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信息提交后，医保部门审核人员进行审核，审核通过的，系统自动识别机构全称+统一社会信用代码+《医疗机构执业许可证》登记号进行唯一性赋码。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医疗机构维护状态为已入库的，视为已取得国家机构代码。原则上一证一码，不能重复申请多个机构代码！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楷体" w:hAnsi="楷体" w:eastAsia="楷体" w:cs="楷体"/>
          <w:b w:val="0"/>
          <w:bCs w:val="0"/>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一、新增医保医师、医保护士、医保药师、技术人员信息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信息维护完成后，方可进行人员信息维护。点击【医师维护】/【护士维护】/【药学人员维护】/【技术人员维护】-【医师信息维护】/【护士信息维护】/【药学人员信息维护】/【技术人员信息维护】-【新增】（如图2-1），跳转到信息维护页面（如图2-2），先选择相关定点医疗机构名称后再填写其他信息（如图2-3）。</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2405" cy="1056005"/>
            <wp:effectExtent l="0" t="0" r="635"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4"/>
                    <a:stretch>
                      <a:fillRect/>
                    </a:stretch>
                  </pic:blipFill>
                  <pic:spPr>
                    <a:xfrm>
                      <a:off x="0" y="0"/>
                      <a:ext cx="5272405" cy="1056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drawing>
          <wp:inline distT="0" distB="0" distL="114300" distR="114300">
            <wp:extent cx="5683885" cy="5245735"/>
            <wp:effectExtent l="0" t="0" r="635" b="12065"/>
            <wp:docPr id="34" name="图片 34" descr="附件8-3 机构 医保医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附件8-3 机构 医保医师"/>
                    <pic:cNvPicPr>
                      <a:picLocks noChangeAspect="1"/>
                    </pic:cNvPicPr>
                  </pic:nvPicPr>
                  <pic:blipFill>
                    <a:blip r:embed="rId25"/>
                    <a:stretch>
                      <a:fillRect/>
                    </a:stretch>
                  </pic:blipFill>
                  <pic:spPr>
                    <a:xfrm>
                      <a:off x="0" y="0"/>
                      <a:ext cx="5683885" cy="524573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35860"/>
            <wp:effectExtent l="0" t="0" r="1397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5274310" cy="243586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1.如医师属于境外人员，系统对“医师资格证书编码”、“医师执业证书编码”、“医师执业证书电子文档”三项内容不做必填校验。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大批量维护人员信息时可批量导入，【医师维护】/【护士维护】/【药学人员维护】/【技术人员维护】-【医师信息维护】/【护士信息维护】/【药学人员信息维护】/【技术人员信息维护】-【导入】-【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表格的要求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，选择对应的医疗机构</w:t>
      </w:r>
      <w:r>
        <w:rPr>
          <w:rFonts w:hint="eastAsia" w:ascii="仿宋_GB2312" w:hAnsi="仿宋_GB2312" w:eastAsia="仿宋_GB2312" w:cs="仿宋_GB2312"/>
          <w:color w:val="auto"/>
          <w:sz w:val="32"/>
          <w:szCs w:val="32"/>
          <w:highlight w:val="none"/>
          <w:lang w:val="en-US" w:eastAsia="zh-CN"/>
        </w:rPr>
        <w:t>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如图2-5、图2-6、图2-7、图2-8）。</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7325" cy="1263015"/>
            <wp:effectExtent l="0" t="0" r="5715"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5267325" cy="12630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1045845"/>
            <wp:effectExtent l="0" t="0" r="635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8"/>
                    <a:stretch>
                      <a:fillRect/>
                    </a:stretch>
                  </pic:blipFill>
                  <pic:spPr>
                    <a:xfrm>
                      <a:off x="0" y="0"/>
                      <a:ext cx="5266690" cy="10458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989330"/>
            <wp:effectExtent l="0" t="0" r="14605" b="127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a:stretch>
                      <a:fillRect/>
                    </a:stretch>
                  </pic:blipFill>
                  <pic:spPr>
                    <a:xfrm>
                      <a:off x="0" y="0"/>
                      <a:ext cx="5273675" cy="98933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default" w:ascii="仿宋_GB2312" w:hAnsi="仿宋_GB2312" w:eastAsia="仿宋_GB2312" w:cs="仿宋_GB2312"/>
          <w:color w:val="auto"/>
          <w:sz w:val="21"/>
          <w:szCs w:val="21"/>
          <w:highlight w:val="none"/>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407670</wp:posOffset>
            </wp:positionV>
            <wp:extent cx="5557520" cy="935990"/>
            <wp:effectExtent l="0" t="0" r="5080" b="8890"/>
            <wp:wrapTopAndBottom/>
            <wp:docPr id="39" name="图片 2" descr="机构药师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descr="机构药师导入信息模板"/>
                    <pic:cNvPicPr>
                      <a:picLocks noChangeAspect="1"/>
                    </pic:cNvPicPr>
                  </pic:nvPicPr>
                  <pic:blipFill>
                    <a:blip r:embed="rId30"/>
                    <a:stretch>
                      <a:fillRect/>
                    </a:stretch>
                  </pic:blipFill>
                  <pic:spPr>
                    <a:xfrm>
                      <a:off x="0" y="0"/>
                      <a:ext cx="5557520" cy="935990"/>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图2-6</w:t>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图2-7</w:t>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21590</wp:posOffset>
            </wp:positionV>
            <wp:extent cx="5686425" cy="970915"/>
            <wp:effectExtent l="0" t="0" r="13335" b="4445"/>
            <wp:wrapTopAndBottom/>
            <wp:docPr id="40" name="图片 3" descr="技术人员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descr="技术人员导入信息模板"/>
                    <pic:cNvPicPr>
                      <a:picLocks noChangeAspect="1"/>
                    </pic:cNvPicPr>
                  </pic:nvPicPr>
                  <pic:blipFill>
                    <a:blip r:embed="rId31"/>
                    <a:stretch>
                      <a:fillRect/>
                    </a:stretch>
                  </pic:blipFill>
                  <pic:spPr>
                    <a:xfrm>
                      <a:off x="0" y="0"/>
                      <a:ext cx="5686425" cy="970915"/>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资料附件时，点击【医师维护】/【护士维护】/【药学人员维护】/【技术人员维护】-【医师信息维护】/【护士信息维护】/【药学人员信息维护】/【技术人员信息维护】-【附件上传】，需严格按照注意事项的内容规范操作（如图2-9）</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附件批量上传的前提是必须先维护好医保医师/医保护士的信息，再通过上传PDF文件（命名格式为证件类型代码+_+证件号码，例：1_110101199003077475.pdf）进行自动匹配完成附件批量上传操作。</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2336165"/>
            <wp:effectExtent l="0" t="0" r="6350" b="10795"/>
            <wp:docPr id="4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pic:cNvPicPr>
                      <a:picLocks noChangeAspect="1"/>
                    </pic:cNvPicPr>
                  </pic:nvPicPr>
                  <pic:blipFill>
                    <a:blip r:embed="rId32"/>
                    <a:stretch>
                      <a:fillRect/>
                    </a:stretch>
                  </pic:blipFill>
                  <pic:spPr>
                    <a:xfrm>
                      <a:off x="0" y="0"/>
                      <a:ext cx="5266690" cy="233616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前，需认真核实信息的准确性及资料的完整性，提交后不能重复维护。医保医师/医保护士/医保药师/技术人员信息提交时可以在信息维护页面单个提交，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后，需等待后台人员审核，审核通过后系统自动根据医保医师/医保护士/医保药师/技术人员的证件类型+证件号进行唯一性赋码，相同身份信息的人员在不同执业机构的赋码相同。</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16"/>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医疗机构录入信息要求</w:t>
      </w:r>
    </w:p>
    <w:p>
      <w:pPr>
        <w:pStyle w:val="16"/>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医疗机构申报时自行填入，必须与国家医保信息业务编码标准数据库动态维护平台申请的一致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同一医疗机构，解除协议后又重新申请医保定点的，继续使用原国家机构代码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医疗机构名称</w:t>
      </w:r>
      <w:r>
        <w:rPr>
          <w:rFonts w:hint="eastAsia" w:ascii="仿宋_GB2312" w:hAnsi="仿宋_GB2312" w:eastAsia="仿宋_GB2312" w:cs="仿宋_GB2312"/>
          <w:b/>
          <w:bCs/>
          <w:color w:val="auto"/>
          <w:kern w:val="0"/>
          <w:szCs w:val="32"/>
          <w:highlight w:val="none"/>
          <w:lang w:eastAsia="zh-CN"/>
        </w:rPr>
        <w:t>、医疗机构别名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医疗机构名称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《医疗机构执业许可证》《诊所备案凭证》《中医诊所备案证》中</w:t>
      </w:r>
      <w:r>
        <w:rPr>
          <w:rFonts w:hint="eastAsia" w:ascii="仿宋_GB2312" w:hAnsi="仿宋_GB2312" w:eastAsia="仿宋_GB2312" w:cs="仿宋_GB2312"/>
          <w:color w:val="auto"/>
          <w:kern w:val="0"/>
          <w:szCs w:val="32"/>
          <w:highlight w:val="none"/>
        </w:rPr>
        <w:t>的“机构名称”</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医疗机构别名根据实际情况填写。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国有和集体办的医疗机构为公立，统一社会信用代码首1位数字为1；其他为非公立</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医疗机构类别：</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b w:val="0"/>
          <w:bCs w:val="0"/>
          <w:color w:val="auto"/>
          <w:kern w:val="0"/>
          <w:sz w:val="32"/>
          <w:szCs w:val="32"/>
          <w:highlight w:val="none"/>
          <w:lang w:eastAsia="zh-CN"/>
        </w:rPr>
        <w:t>的</w:t>
      </w:r>
      <w:r>
        <w:rPr>
          <w:rFonts w:hint="eastAsia" w:ascii="仿宋_GB2312" w:hAnsi="仿宋_GB2312" w:eastAsia="仿宋_GB2312" w:cs="仿宋_GB2312"/>
          <w:color w:val="auto"/>
          <w:kern w:val="0"/>
          <w:szCs w:val="32"/>
          <w:highlight w:val="none"/>
        </w:rPr>
        <w:t>“医疗机构类别”</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的，根据实际情况选择“诊所”类别；提供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的，选择“中医诊所”；</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“经营性质”</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“所有制形式”</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主管单位名称、所属本市行政区域：</w:t>
      </w:r>
      <w:bookmarkStart w:id="2" w:name="OLE_LINK8"/>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《医疗机构执业许可证》中的“发证机关”或《诊所备案凭证》《中医诊所备案证》中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备案机关</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bookmarkEnd w:id="2"/>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所属机构编码、所属机构名称：</w:t>
      </w:r>
      <w:r>
        <w:rPr>
          <w:rFonts w:hint="eastAsia" w:ascii="仿宋_GB2312" w:hAnsi="仿宋_GB2312" w:eastAsia="仿宋_GB2312" w:cs="仿宋_GB2312"/>
          <w:color w:val="auto"/>
          <w:kern w:val="0"/>
          <w:szCs w:val="32"/>
          <w:highlight w:val="none"/>
        </w:rPr>
        <w:t>医疗机构为本市定点医疗机构的下属机构或分支机构，其所属机构填写上级机构。除院办社康以外非必填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医院</w:t>
      </w:r>
      <w:r>
        <w:rPr>
          <w:rFonts w:hint="eastAsia" w:ascii="仿宋_GB2312" w:hAnsi="仿宋_GB2312" w:eastAsia="仿宋_GB2312" w:cs="仿宋_GB2312"/>
          <w:b/>
          <w:bCs/>
          <w:color w:val="auto"/>
          <w:kern w:val="0"/>
          <w:szCs w:val="32"/>
          <w:highlight w:val="none"/>
        </w:rPr>
        <w:t>级别、医疗机构等级：</w:t>
      </w:r>
      <w:r>
        <w:rPr>
          <w:rFonts w:hint="eastAsia" w:ascii="仿宋_GB2312" w:hAnsi="仿宋_GB2312" w:eastAsia="仿宋_GB2312" w:cs="仿宋_GB2312"/>
          <w:color w:val="auto"/>
          <w:kern w:val="0"/>
          <w:szCs w:val="32"/>
          <w:highlight w:val="none"/>
        </w:rPr>
        <w:t>根据卫健部门的等级评审文件或者</w:t>
      </w:r>
      <w:r>
        <w:rPr>
          <w:rFonts w:hint="eastAsia" w:ascii="仿宋_GB2312" w:hAnsi="仿宋_GB2312" w:eastAsia="仿宋_GB2312" w:cs="仿宋_GB2312"/>
          <w:color w:val="auto"/>
          <w:kern w:val="0"/>
          <w:szCs w:val="32"/>
          <w:highlight w:val="none"/>
          <w:lang w:eastAsia="zh-CN"/>
        </w:rPr>
        <w:t>卫健</w:t>
      </w:r>
      <w:r>
        <w:rPr>
          <w:rFonts w:hint="eastAsia" w:ascii="仿宋_GB2312" w:hAnsi="仿宋_GB2312" w:eastAsia="仿宋_GB2312" w:cs="仿宋_GB2312"/>
          <w:color w:val="auto"/>
          <w:kern w:val="0"/>
          <w:szCs w:val="32"/>
          <w:highlight w:val="none"/>
        </w:rPr>
        <w:t>部门出具的相当等级证明材料选择</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未提交该项材料的，</w:t>
      </w:r>
      <w:r>
        <w:rPr>
          <w:rFonts w:hint="eastAsia" w:ascii="仿宋_GB2312" w:hAnsi="仿宋_GB2312" w:eastAsia="仿宋_GB2312" w:cs="仿宋_GB2312"/>
          <w:color w:val="auto"/>
          <w:kern w:val="0"/>
          <w:szCs w:val="32"/>
          <w:highlight w:val="none"/>
          <w:lang w:eastAsia="zh-CN"/>
        </w:rPr>
        <w:t>医院级别</w:t>
      </w:r>
      <w:r>
        <w:rPr>
          <w:rFonts w:hint="eastAsia" w:ascii="仿宋_GB2312" w:hAnsi="仿宋_GB2312" w:eastAsia="仿宋_GB2312" w:cs="仿宋_GB2312"/>
          <w:color w:val="auto"/>
          <w:kern w:val="0"/>
          <w:szCs w:val="32"/>
          <w:highlight w:val="none"/>
        </w:rPr>
        <w:t>选择“未定级”</w:t>
      </w:r>
      <w:r>
        <w:rPr>
          <w:rFonts w:hint="eastAsia" w:ascii="仿宋_GB2312" w:hAnsi="仿宋_GB2312" w:eastAsia="仿宋_GB2312" w:cs="仿宋_GB2312"/>
          <w:color w:val="auto"/>
          <w:kern w:val="0"/>
          <w:szCs w:val="32"/>
          <w:highlight w:val="none"/>
          <w:lang w:eastAsia="zh-CN"/>
        </w:rPr>
        <w:t>，医疗机构等级选择</w:t>
      </w:r>
      <w:r>
        <w:rPr>
          <w:rFonts w:hint="eastAsia" w:ascii="仿宋_GB2312" w:hAnsi="仿宋_GB2312" w:eastAsia="仿宋_GB2312" w:cs="仿宋_GB2312"/>
          <w:color w:val="auto"/>
          <w:kern w:val="0"/>
          <w:szCs w:val="32"/>
          <w:highlight w:val="none"/>
        </w:rPr>
        <w:t>“无等级”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事业单位法人证书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民办非企业单位法人登记证书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等商事主体证书</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。无商事主体证书的，填写其设立机构的统一社会信用代码。</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法定代表人、主要负责人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法定代表人、主要负责人</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、主要负责人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，若服务对象为“社会+内部”，选择“社会”。提供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的，默认为“社会”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医保负责人、医保负责人电话、机构传真号码、工作人员总数、机构电子邮箱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“地址”</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执业许可证登记号</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的“登记号”</w:t>
      </w:r>
      <w:r>
        <w:rPr>
          <w:rFonts w:hint="eastAsia" w:ascii="仿宋_GB2312" w:hAnsi="仿宋_GB2312" w:eastAsia="仿宋_GB2312" w:cs="仿宋_GB2312"/>
          <w:b w:val="0"/>
          <w:bCs w:val="0"/>
          <w:color w:val="auto"/>
          <w:kern w:val="0"/>
          <w:sz w:val="32"/>
          <w:szCs w:val="32"/>
          <w:highlight w:val="none"/>
          <w:lang w:eastAsia="zh-CN"/>
        </w:rPr>
        <w:t>或《诊所备案凭证》《中医诊所备案证》中的</w:t>
      </w:r>
      <w:r>
        <w:rPr>
          <w:rFonts w:hint="eastAsia" w:ascii="仿宋_GB2312" w:hAnsi="仿宋_GB2312" w:eastAsia="仿宋_GB2312" w:cs="仿宋_GB2312"/>
          <w:color w:val="auto"/>
          <w:kern w:val="0"/>
          <w:szCs w:val="32"/>
          <w:highlight w:val="none"/>
        </w:rPr>
        <w:t>“备案编号”</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许可证有效期限</w:t>
      </w:r>
      <w:r>
        <w:rPr>
          <w:rFonts w:hint="eastAsia" w:ascii="仿宋_GB2312" w:hAnsi="仿宋_GB2312" w:eastAsia="仿宋_GB2312" w:cs="仿宋_GB2312"/>
          <w:b/>
          <w:bCs/>
          <w:color w:val="auto"/>
          <w:kern w:val="0"/>
          <w:szCs w:val="32"/>
          <w:highlight w:val="none"/>
          <w:lang w:eastAsia="zh-CN"/>
        </w:rPr>
        <w:t>（起</w:t>
      </w:r>
      <w:r>
        <w:rPr>
          <w:rFonts w:hint="eastAsia" w:ascii="仿宋_GB2312" w:hAnsi="仿宋_GB2312" w:eastAsia="仿宋_GB2312" w:cs="仿宋_GB2312"/>
          <w:b/>
          <w:bCs/>
          <w:color w:val="auto"/>
          <w:kern w:val="0"/>
          <w:szCs w:val="32"/>
          <w:highlight w:val="none"/>
          <w:lang w:val="en-US" w:eastAsia="zh-CN"/>
        </w:rPr>
        <w:t>/止</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《医疗机构执业许可证》中相关信息一致</w:t>
      </w:r>
      <w:r>
        <w:rPr>
          <w:rFonts w:hint="eastAsia" w:ascii="仿宋_GB2312" w:hAnsi="仿宋_GB2312" w:eastAsia="仿宋_GB2312" w:cs="仿宋_GB2312"/>
          <w:color w:val="auto"/>
          <w:kern w:val="0"/>
          <w:szCs w:val="32"/>
          <w:highlight w:val="none"/>
        </w:rPr>
        <w:t>，提供的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没有该信息的，选择为2999-12-31</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的“诊疗科目”</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“诊疗范围”</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核定床位数：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“床位（牙椅）”和卫健部门的床位数批复文件</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开放床位数、符合医保支付标准的床位数：</w:t>
      </w:r>
      <w:r>
        <w:rPr>
          <w:rFonts w:hint="eastAsia" w:ascii="仿宋_GB2312" w:hAnsi="仿宋_GB2312" w:eastAsia="仿宋_GB2312" w:cs="仿宋_GB2312"/>
          <w:color w:val="auto"/>
          <w:kern w:val="0"/>
          <w:szCs w:val="32"/>
          <w:highlight w:val="none"/>
        </w:rPr>
        <w:t>根据实际情况填写，不应大于核定床位数</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一级诊疗科目数量、二级诊疗科目数量：</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诊疗科目</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与医疗机构名称一致。医疗机构已填写“所属机构”或为内设医疗机构的，此项不填。银行账号校验接口报错的，可删除该项信息，待成为新增定点医疗机构后维护</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所属辖区医保经办机构：</w:t>
      </w:r>
      <w:r>
        <w:rPr>
          <w:rFonts w:hint="eastAsia" w:ascii="仿宋_GB2312" w:hAnsi="仿宋_GB2312" w:eastAsia="仿宋_GB2312" w:cs="仿宋_GB2312"/>
          <w:color w:val="auto"/>
          <w:kern w:val="0"/>
          <w:szCs w:val="32"/>
          <w:highlight w:val="none"/>
        </w:rPr>
        <w:t>为医疗机构地址所在辖区的分局</w:t>
      </w:r>
      <w:r>
        <w:rPr>
          <w:rFonts w:hint="eastAsia" w:ascii="仿宋_GB2312" w:hAnsi="仿宋_GB2312" w:eastAsia="仿宋_GB2312" w:cs="仿宋_GB2312"/>
          <w:color w:val="auto"/>
          <w:kern w:val="0"/>
          <w:szCs w:val="32"/>
          <w:highlight w:val="none"/>
          <w:lang w:eastAsia="zh-CN"/>
        </w:rPr>
        <w:t>。</w:t>
      </w:r>
    </w:p>
    <w:p>
      <w:pPr>
        <w:pStyle w:val="16"/>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物价收费档次</w:t>
      </w:r>
      <w:r>
        <w:rPr>
          <w:rFonts w:hint="eastAsia" w:ascii="仿宋_GB2312" w:hAnsi="仿宋_GB2312" w:eastAsia="仿宋_GB2312" w:cs="仿宋_GB2312"/>
          <w:b/>
          <w:bCs/>
          <w:color w:val="auto"/>
          <w:sz w:val="32"/>
          <w:szCs w:val="32"/>
          <w:highlight w:val="none"/>
          <w:lang w:eastAsia="zh-CN"/>
        </w:rPr>
        <w:t>级别</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原则上以市医疗保障局</w:t>
      </w:r>
      <w:r>
        <w:rPr>
          <w:rFonts w:hint="eastAsia" w:ascii="仿宋_GB2312" w:hAnsi="仿宋_GB2312" w:eastAsia="仿宋_GB2312" w:cs="仿宋_GB2312"/>
          <w:color w:val="auto"/>
          <w:sz w:val="32"/>
          <w:szCs w:val="32"/>
          <w:highlight w:val="none"/>
          <w:lang w:eastAsia="zh-CN"/>
        </w:rPr>
        <w:t>确定</w:t>
      </w:r>
      <w:r>
        <w:rPr>
          <w:rFonts w:hint="eastAsia" w:ascii="仿宋_GB2312" w:hAnsi="仿宋_GB2312" w:eastAsia="仿宋_GB2312" w:cs="仿宋_GB2312"/>
          <w:color w:val="auto"/>
          <w:sz w:val="32"/>
          <w:szCs w:val="32"/>
          <w:highlight w:val="none"/>
        </w:rPr>
        <w:t>的价格档次为准。社康及其他无床位的社办基层医疗机构一般为四档；有床位的非公立医疗机构，未定价格档次的，可暂时按照四档受理，待成为定点医疗机构后再确定。</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医疗机构申请材料要求</w:t>
      </w:r>
    </w:p>
    <w:p>
      <w:pPr>
        <w:pStyle w:val="16"/>
        <w:rPr>
          <w:rFonts w:hint="eastAsia"/>
          <w:color w:val="auto"/>
          <w:highlight w:val="none"/>
          <w:lang w:val="en-US" w:eastAsia="zh-CN"/>
        </w:rPr>
      </w:pPr>
    </w:p>
    <w:tbl>
      <w:tblPr>
        <w:tblStyle w:val="12"/>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《深圳市新增定点医疗机构申请表》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2.申请医疗机构为下属机构或分支机构的，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需同时</w:t>
            </w:r>
            <w:r>
              <w:rPr>
                <w:rFonts w:hint="eastAsia" w:ascii="Times New Roman" w:hAnsi="Times New Roman" w:eastAsia="仿宋_GB2312" w:cs="Times New Roman"/>
                <w:b w:val="0"/>
                <w:i w:val="0"/>
                <w:caps w:val="0"/>
                <w:color w:val="auto"/>
                <w:spacing w:val="0"/>
                <w:w w:val="100"/>
                <w:kern w:val="0"/>
                <w:sz w:val="24"/>
                <w:szCs w:val="24"/>
                <w:highlight w:val="none"/>
              </w:rPr>
              <w:t>加盖上级机构公章；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3.有法定代表人、主要负责人及实际控制人签名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r>
              <w:rPr>
                <w:rFonts w:hint="eastAsia" w:ascii="Times New Roman" w:hAnsi="Times New Roman" w:eastAsia="仿宋_GB2312" w:cs="Times New Roman"/>
                <w:b w:val="0"/>
                <w:i w:val="0"/>
                <w:caps w:val="0"/>
                <w:color w:val="auto"/>
                <w:spacing w:val="0"/>
                <w:w w:val="100"/>
                <w:kern w:val="0"/>
                <w:sz w:val="24"/>
                <w:szCs w:val="24"/>
                <w:highlight w:val="none"/>
              </w:rPr>
              <w:t>卫生技术工作人员应报尽报。</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《医疗机构执业许可证》、《诊所备案凭证》、《中医诊所备案证》或《军队医疗机构为民服务许可证》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2.副本含变更记录，按规定办理校验且结果为合格；</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3.证件获批日期距申请定点日期至少3个月；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4.机构类型、执业范围内容符合申请条件。</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《事业单位法人证书》、《民办非企业单位登记证书》或《营业执照》等主体资格材料</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2.证件获批日期距申请定点日期至少3个月</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3.无事业单位法人证书或民办非企业单位登记证书的，提供其设立机构的事业单位法人证书或民办非企业单位登记证书</w:t>
            </w:r>
            <w:r>
              <w:rPr>
                <w:rFonts w:hint="eastAsia" w:ascii="Times New Roman" w:hAnsi="Times New Roman" w:eastAsia="仿宋_GB2312" w:cs="Times New Roman"/>
                <w:b w:val="0"/>
                <w:i w:val="0"/>
                <w:caps w:val="0"/>
                <w:color w:val="auto"/>
                <w:spacing w:val="0"/>
                <w:w w:val="100"/>
                <w:kern w:val="0"/>
                <w:sz w:val="24"/>
                <w:szCs w:val="24"/>
                <w:highlight w:val="none"/>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与医疗保障政策对应的内部管理制度（至少含医保管理制度、统计信息管理制度、医疗质量安全核心制度和财务制度）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医保管理制度至少包含医保人员工作管理、医保政策内部培训等内容；统计信息管理制度至少包含医保目录数据库维护工作机制等内容；医疗质量安全核心制度至少包含病历管理制度等内容；财务制度至少包含机构医疗服务收入的收费渠道、银行账户等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2.各项制度文本内容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rPr>
              <w:t>原则性、逻辑性错误</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正式启用信息系统开展诊疗服务之日距申请定点日期至少3个月的佐证材料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1.按照卫健部门规定使用相关信息系统截图；</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2.使用信息系统开展诊疗服务形成的电子病历、处方、治疗单等</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58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设立医保药品、诊疗项目、医用耗材等基础数据库，使用统一的医保编码的佐证材料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至少包含医疗机构基本情况、自提交申请之日起前3个月运营状况（包括医疗服务总费用、人次、门急诊及住院病人平均费用，其中医疗美容、生活照护、种植牙等非基本医疗服务总费用和人次应单独列明）、预测分析纳入定点后医保基金使用情况、医保基金安全风险防范预案及措施等四个部分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2.自提交申请之日起前3个月非基本医疗服务费用/总医疗费用小于百分之五十，且非基本医疗服务服务人次/总医疗服务服务人次小于百分之五十。</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3.医疗服务总费用、人次与收费系统截图一致。</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《医疗机构申请医保定点承诺书》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pStyle w:val="8"/>
        <w:jc w:val="left"/>
        <w:rPr>
          <w:rFonts w:hint="default" w:ascii="仿宋_GB2312" w:hAnsi="仿宋_GB2312" w:eastAsia="仿宋_GB2312" w:cs="仿宋_GB2312"/>
          <w:color w:val="auto"/>
          <w:sz w:val="32"/>
          <w:szCs w:val="32"/>
          <w:highlight w:val="none"/>
          <w:lang w:val="en-US" w:eastAsia="zh-CN"/>
        </w:rPr>
      </w:pPr>
    </w:p>
    <w:p>
      <w:pPr>
        <w:pStyle w:val="5"/>
        <w:ind w:left="0" w:leftChars="0" w:firstLine="0" w:firstLineChars="0"/>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pStyle w:val="6"/>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rPr>
          <w:rFonts w:hint="eastAsia" w:ascii="黑体" w:hAnsi="黑体" w:eastAsia="黑体" w:cs="黑体"/>
          <w:color w:val="auto"/>
          <w:highlight w:val="none"/>
          <w:lang w:val="en-US" w:eastAsia="zh-CN"/>
        </w:rPr>
      </w:pPr>
    </w:p>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5"/>
        <w:gridCol w:w="2265"/>
        <w:gridCol w:w="2265"/>
        <w:gridCol w:w="2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5000" w:type="pct"/>
            <w:gridSpan w:val="4"/>
            <w:tcBorders>
              <w:top w:val="nil"/>
              <w:left w:val="nil"/>
              <w:bottom w:val="single" w:color="000000" w:sz="4" w:space="0"/>
              <w:right w:val="nil"/>
            </w:tcBorders>
            <w:noWrap/>
            <w:vAlign w:val="center"/>
          </w:tcPr>
          <w:p>
            <w:pPr>
              <w:keepNext w:val="0"/>
              <w:keepLines w:val="0"/>
              <w:widowControl/>
              <w:suppressLineNumbers w:val="0"/>
              <w:shd w:val="clear"/>
              <w:jc w:val="center"/>
              <w:textAlignment w:val="center"/>
              <w:rPr>
                <w:rFonts w:hint="default" w:ascii="Times New Roman" w:hAnsi="Times New Roman" w:eastAsia="仿宋_GB2312" w:cs="Times New Roman"/>
                <w:b/>
                <w:bCs/>
                <w:i w:val="0"/>
                <w:iCs w:val="0"/>
                <w:color w:val="auto"/>
                <w:sz w:val="32"/>
                <w:szCs w:val="32"/>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新增定点医疗机构申请表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所有制形式</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经营等级</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机构类型</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申请服务范围</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执业许可证登记号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诊疗科目</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营业执照名称</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二、机构规模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编制床位数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实际开放床位数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医护人员数量</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高级职称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中级职称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初级职称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护士</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医技</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合计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widowControl/>
              <w:shd w:val="clear"/>
              <w:jc w:val="center"/>
              <w:textAlignment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是否设有内部医保管理部门</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是否具有医保管理、财务、统计信息管理、医疗质量安全核心制度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是否设立医保药品、诊疗项目、医疗服务设施、医用耗材、疾病病种等基础数据库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是否建立进销存信息系统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是否建立门诊信息系统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是否建立住院信息系统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auto" w:sz="4" w:space="0"/>
              <w:bottom w:val="nil"/>
              <w:right w:val="single" w:color="000000" w:sz="4" w:space="0"/>
            </w:tcBorders>
            <w:noWrap w:val="0"/>
            <w:vAlign w:val="center"/>
          </w:tcPr>
          <w:p>
            <w:pPr>
              <w:keepNext w:val="0"/>
              <w:keepLines w:val="0"/>
              <w:widowControl/>
              <w:suppressLineNumbers w:val="0"/>
              <w:shd w:val="clear"/>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本机构自愿承担基本医疗保险服务，申请成为医疗保险定点机构，并承诺不存在《医疗机构医疗保障定点管理暂行办法》《广东省医疗机构医疗保障定点管理暂行办法》等文件有关规定的不予受理定点申请的情形，且所提交资料全部真实有效，如有虚假成分，愿意承担一切相应的法律责任；如因本机构原因，医疗机构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keepNext w:val="0"/>
              <w:keepLines w:val="0"/>
              <w:widowControl/>
              <w:suppressLineNumbers w:val="0"/>
              <w:shd w:val="clear"/>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nil"/>
              <w:left w:val="single" w:color="auto" w:sz="4" w:space="0"/>
              <w:bottom w:val="single" w:color="000000" w:sz="4" w:space="0"/>
              <w:right w:val="nil"/>
            </w:tcBorders>
            <w:noWrap/>
            <w:vAlign w:val="center"/>
          </w:tcPr>
          <w:p>
            <w:pPr>
              <w:shd w:val="clear"/>
              <w:jc w:val="both"/>
              <w:rPr>
                <w:rFonts w:hint="default" w:ascii="Times New Roman" w:hAnsi="Times New Roman" w:eastAsia="仿宋_GB2312" w:cs="Times New Roman"/>
                <w:i w:val="0"/>
                <w:iCs w:val="0"/>
                <w:color w:val="auto"/>
                <w:sz w:val="24"/>
                <w:szCs w:val="24"/>
                <w:highlight w:val="none"/>
                <w:u w:val="none"/>
              </w:rPr>
            </w:pPr>
          </w:p>
        </w:tc>
        <w:tc>
          <w:tcPr>
            <w:tcW w:w="2500"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shd w:val="clear"/>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    年    月    日</w:t>
            </w:r>
          </w:p>
        </w:tc>
      </w:tr>
    </w:tbl>
    <w:p>
      <w:pPr>
        <w:pStyle w:val="8"/>
        <w:jc w:val="left"/>
        <w:rPr>
          <w:rFonts w:hint="eastAsia" w:ascii="黑体" w:hAnsi="黑体" w:eastAsia="黑体" w:cs="黑体"/>
          <w:b w:val="0"/>
          <w:bCs w:val="0"/>
          <w:color w:val="auto"/>
          <w:kern w:val="2"/>
          <w:sz w:val="32"/>
          <w:szCs w:val="32"/>
          <w:highlight w:val="none"/>
          <w:lang w:val="en-US" w:eastAsia="zh-CN" w:bidi="ar-SA"/>
        </w:rPr>
      </w:pPr>
    </w:p>
    <w:p>
      <w:pPr>
        <w:pStyle w:val="8"/>
        <w:jc w:val="left"/>
        <w:rPr>
          <w:rFonts w:hint="eastAsia" w:ascii="黑体" w:hAnsi="黑体" w:eastAsia="黑体" w:cs="黑体"/>
          <w:b w:val="0"/>
          <w:bCs w:val="0"/>
          <w:color w:val="auto"/>
          <w:kern w:val="2"/>
          <w:sz w:val="32"/>
          <w:szCs w:val="32"/>
          <w:highlight w:val="none"/>
          <w:lang w:val="en-US" w:eastAsia="zh-CN" w:bidi="ar-SA"/>
        </w:rPr>
      </w:pPr>
    </w:p>
    <w:p>
      <w:pPr>
        <w:pStyle w:val="8"/>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sectPr>
          <w:footerReference r:id="rId5" w:type="first"/>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pStyle w:val="16"/>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近三个月医疗费用明细（样表）</w:t>
      </w:r>
    </w:p>
    <w:p>
      <w:pPr>
        <w:pStyle w:val="16"/>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表1</w:t>
      </w:r>
    </w:p>
    <w:tbl>
      <w:tblPr>
        <w:tblStyle w:val="13"/>
        <w:tblpPr w:leftFromText="180" w:rightFromText="180" w:vertAnchor="text" w:horzAnchor="page" w:tblpX="1147" w:tblpY="161"/>
        <w:tblOverlap w:val="never"/>
        <w:tblW w:w="15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11"/>
        <w:gridCol w:w="833"/>
        <w:gridCol w:w="1440"/>
        <w:gridCol w:w="1368"/>
        <w:gridCol w:w="1207"/>
        <w:gridCol w:w="1668"/>
        <w:gridCol w:w="1632"/>
        <w:gridCol w:w="804"/>
        <w:gridCol w:w="1680"/>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收费日期</w:t>
            </w:r>
          </w:p>
        </w:tc>
        <w:tc>
          <w:tcPr>
            <w:tcW w:w="1411"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患者姓名</w:t>
            </w:r>
          </w:p>
        </w:tc>
        <w:tc>
          <w:tcPr>
            <w:tcW w:w="833"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诊断</w:t>
            </w: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收费项目名称</w:t>
            </w: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医保目录编码</w:t>
            </w: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收费单价（元）</w:t>
            </w: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政府指导价（元）</w:t>
            </w: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数量</w:t>
            </w: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合计</w:t>
            </w: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医疗服务分类（按项目）</w:t>
            </w:r>
          </w:p>
        </w:tc>
        <w:tc>
          <w:tcPr>
            <w:tcW w:w="1606"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411"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医保目录计价单位</w:t>
            </w:r>
            <w:r>
              <w:rPr>
                <w:rFonts w:hint="eastAsia" w:ascii="仿宋_GB2312" w:hAnsi="仿宋_GB2312" w:eastAsia="仿宋_GB2312" w:cs="仿宋_GB2312"/>
                <w:b w:val="0"/>
                <w:bCs w:val="0"/>
                <w:color w:val="auto"/>
                <w:sz w:val="28"/>
                <w:szCs w:val="28"/>
                <w:highlight w:val="none"/>
                <w:vertAlign w:val="baseline"/>
                <w:lang w:val="en-US" w:eastAsia="zh-CN"/>
              </w:rPr>
              <w:t>计算数量</w:t>
            </w: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val="0"/>
                <w:bCs w:val="0"/>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确定医疗服务项目属性</w:t>
            </w:r>
          </w:p>
        </w:tc>
        <w:tc>
          <w:tcPr>
            <w:tcW w:w="1606"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确定医疗服务人次属性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w:t>
            </w:r>
          </w:p>
        </w:tc>
        <w:tc>
          <w:tcPr>
            <w:tcW w:w="1411"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bl>
    <w:p>
      <w:pPr>
        <w:pStyle w:val="16"/>
        <w:keepNext w:val="0"/>
        <w:keepLines w:val="0"/>
        <w:pageBreakBefore w:val="0"/>
        <w:widowControl w:val="0"/>
        <w:kinsoku/>
        <w:wordWrap/>
        <w:overflowPunct/>
        <w:topLinePunct w:val="0"/>
        <w:autoSpaceDE w:val="0"/>
        <w:autoSpaceDN w:val="0"/>
        <w:bidi w:val="0"/>
        <w:adjustRightInd w:val="0"/>
        <w:snapToGrid/>
        <w:spacing w:line="300" w:lineRule="exact"/>
        <w:ind w:left="0" w:leftChars="-196" w:right="-824" w:rightChars="-261" w:hanging="619" w:hangingChars="224"/>
        <w:textAlignment w:val="auto"/>
        <w:rPr>
          <w:rFonts w:hint="eastAsia"/>
          <w:color w:val="auto"/>
          <w:sz w:val="24"/>
          <w:szCs w:val="24"/>
          <w:highlight w:val="none"/>
          <w:lang w:val="en-US" w:eastAsia="zh-CN"/>
        </w:rPr>
      </w:pPr>
      <w:r>
        <w:rPr>
          <w:rFonts w:hint="eastAsia" w:ascii="仿宋_GB2312" w:hAnsi="仿宋_GB2312" w:eastAsia="仿宋_GB2312" w:cs="仿宋_GB2312"/>
          <w:b/>
          <w:bCs/>
          <w:color w:val="auto"/>
          <w:sz w:val="28"/>
          <w:szCs w:val="28"/>
          <w:highlight w:val="none"/>
          <w:lang w:val="en-US" w:eastAsia="zh-CN"/>
        </w:rPr>
        <w:t>备注：</w:t>
      </w:r>
      <w:r>
        <w:rPr>
          <w:rFonts w:hint="eastAsia" w:ascii="仿宋_GB2312" w:hAnsi="仿宋_GB2312" w:eastAsia="仿宋_GB2312" w:cs="仿宋_GB2312"/>
          <w:color w:val="auto"/>
          <w:sz w:val="24"/>
          <w:szCs w:val="24"/>
          <w:highlight w:val="none"/>
          <w:lang w:val="en-US" w:eastAsia="zh-CN"/>
        </w:rPr>
        <w:t>《深圳市基本医疗服务价格项目目录》内项目、《广东省基本医疗保险、生育保险和工伤保险药品目录》内药品、《广东省基本医疗保险、工伤保险和生育保险医用耗材目录》内医用耗材属于基本医疗服务，涉及的费用计入基本医疗服务费用，计算基本医疗服务费用时以政府指导价为准，其余医药费用计入非基本医疗服务费用。一次就诊中基本医疗服务费用占该次就诊医疗服务费用大于50%的视为一次基本医疗服务服务人次，小于50%的视为一次非基本医疗服务服务人次。</w:t>
      </w:r>
    </w:p>
    <w:p>
      <w:pPr>
        <w:pStyle w:val="16"/>
        <w:rPr>
          <w:rFonts w:hint="eastAsia"/>
          <w:color w:val="auto"/>
          <w:sz w:val="24"/>
          <w:szCs w:val="24"/>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16"/>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表2</w:t>
      </w:r>
    </w:p>
    <w:tbl>
      <w:tblPr>
        <w:tblStyle w:val="13"/>
        <w:tblpPr w:leftFromText="180" w:rightFromText="180" w:vertAnchor="text" w:horzAnchor="page" w:tblpX="1712" w:tblpY="38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676"/>
        <w:gridCol w:w="3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w:t>
            </w:r>
          </w:p>
        </w:tc>
        <w:tc>
          <w:tcPr>
            <w:tcW w:w="2676"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费用</w:t>
            </w:r>
          </w:p>
        </w:tc>
        <w:tc>
          <w:tcPr>
            <w:tcW w:w="3343"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基本医疗服务</w:t>
            </w:r>
          </w:p>
        </w:tc>
        <w:tc>
          <w:tcPr>
            <w:tcW w:w="2676"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医疗美容</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生活照护</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种植牙</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其他非基本医疗服务</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合计</w:t>
            </w:r>
          </w:p>
        </w:tc>
        <w:tc>
          <w:tcPr>
            <w:tcW w:w="2676"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非基本医疗服务占比</w:t>
            </w:r>
          </w:p>
        </w:tc>
        <w:tc>
          <w:tcPr>
            <w:tcW w:w="2676"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r>
    </w:tbl>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一、医疗机构基本情况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服务人次</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总人次</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8"/>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门急诊病人平均费用情况：</w:t>
      </w: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住院病人平均费用情况：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医疗</w:t>
      </w:r>
      <w:r>
        <w:rPr>
          <w:rFonts w:hint="eastAsia" w:ascii="仿宋_GB2312" w:hAnsi="仿宋_GB2312" w:eastAsia="仿宋_GB2312" w:cs="仿宋_GB2312"/>
          <w:color w:val="auto"/>
          <w:sz w:val="32"/>
          <w:szCs w:val="32"/>
          <w:highlight w:val="none"/>
          <w:lang w:val="en-US" w:eastAsia="zh-CN"/>
        </w:rPr>
        <w:t>机构（盖章）</w:t>
      </w:r>
    </w:p>
    <w:p>
      <w:pPr>
        <w:pStyle w:val="8"/>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本机构自愿申请成为医疗保障定点医疗机构，认真学习《医疗保障基金使用监督管理条例》《医疗机构医疗保障定点管理暂行办法》等政策法规，并郑重作出以下承诺：</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w:t>
      </w:r>
      <w:r>
        <w:rPr>
          <w:rFonts w:hint="eastAsia" w:ascii="仿宋_GB2312" w:hAnsi="仿宋_GB2312" w:eastAsia="仿宋_GB2312" w:cs="仿宋_GB2312"/>
          <w:color w:val="auto"/>
          <w:kern w:val="0"/>
          <w:sz w:val="32"/>
          <w:szCs w:val="32"/>
          <w:highlight w:val="none"/>
          <w:u w:val="none"/>
          <w:lang w:val="en-US" w:eastAsia="zh-CN" w:bidi="ar-SA"/>
        </w:rPr>
        <w:t>正式使用信息系统经营服务至少3个月</w:t>
      </w:r>
      <w:r>
        <w:rPr>
          <w:rFonts w:hint="eastAsia" w:ascii="仿宋_GB2312" w:hAnsi="仿宋_GB2312" w:eastAsia="仿宋_GB2312" w:cs="仿宋_GB2312"/>
          <w:b w:val="0"/>
          <w:bCs w:val="0"/>
          <w:color w:val="auto"/>
          <w:sz w:val="32"/>
          <w:szCs w:val="32"/>
          <w:highlight w:val="none"/>
          <w:lang w:eastAsia="zh-CN"/>
        </w:rPr>
        <w:t>，并妥善保存所有</w:t>
      </w:r>
      <w:r>
        <w:rPr>
          <w:rFonts w:hint="eastAsia" w:ascii="仿宋_GB2312" w:hAnsi="仿宋_GB2312" w:eastAsia="仿宋_GB2312" w:cs="仿宋_GB2312"/>
          <w:b w:val="0"/>
          <w:bCs w:val="0"/>
          <w:color w:val="auto"/>
          <w:sz w:val="32"/>
          <w:szCs w:val="32"/>
          <w:highlight w:val="none"/>
          <w:lang w:val="en-US" w:eastAsia="zh-CN"/>
        </w:rPr>
        <w:t>诊疗服务数据</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三、按要求配备卫生专业技术人员，严格把关从业人员资质及执业范围。</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w:t>
      </w:r>
      <w:r>
        <w:rPr>
          <w:rFonts w:hint="eastAsia" w:ascii="仿宋_GB2312" w:hAnsi="仿宋_GB2312" w:eastAsia="仿宋_GB2312" w:cs="仿宋_GB2312"/>
          <w:color w:val="auto"/>
          <w:kern w:val="0"/>
          <w:sz w:val="32"/>
          <w:szCs w:val="32"/>
          <w:highlight w:val="none"/>
          <w:u w:val="none"/>
          <w:lang w:val="en-US" w:eastAsia="zh-CN" w:bidi="ar-SA"/>
        </w:rPr>
        <w:t>配备</w:t>
      </w:r>
      <w:r>
        <w:rPr>
          <w:rFonts w:hint="eastAsia" w:ascii="仿宋_GB2312" w:hAnsi="仿宋_GB2312" w:eastAsia="仿宋_GB2312" w:cs="仿宋_GB2312"/>
          <w:b w:val="0"/>
          <w:bCs w:val="0"/>
          <w:color w:val="auto"/>
          <w:kern w:val="0"/>
          <w:sz w:val="32"/>
          <w:szCs w:val="32"/>
          <w:highlight w:val="none"/>
          <w:lang w:val="en-US" w:eastAsia="zh-CN"/>
        </w:rPr>
        <w:t>熟悉医疗保障法律法规和相关制度规定的</w:t>
      </w:r>
      <w:r>
        <w:rPr>
          <w:rFonts w:hint="eastAsia" w:ascii="仿宋_GB2312" w:hAnsi="仿宋_GB2312" w:eastAsia="仿宋_GB2312" w:cs="仿宋_GB2312"/>
          <w:color w:val="auto"/>
          <w:kern w:val="0"/>
          <w:sz w:val="32"/>
          <w:szCs w:val="32"/>
          <w:highlight w:val="none"/>
          <w:u w:val="none"/>
          <w:lang w:val="en-US" w:eastAsia="zh-CN" w:bidi="ar-SA"/>
        </w:rPr>
        <w:t>专(兼)职医保管理人员</w:t>
      </w:r>
      <w:r>
        <w:rPr>
          <w:rFonts w:hint="eastAsia" w:ascii="仿宋_GB2312" w:hAnsi="仿宋_GB2312" w:eastAsia="仿宋_GB2312" w:cs="仿宋_GB2312"/>
          <w:b w:val="0"/>
          <w:bCs w:val="0"/>
          <w:color w:val="auto"/>
          <w:kern w:val="0"/>
          <w:sz w:val="32"/>
          <w:szCs w:val="32"/>
          <w:highlight w:val="none"/>
          <w:lang w:val="en-US" w:eastAsia="zh-CN"/>
        </w:rPr>
        <w:t>，负责管理医保费用，并定期组织内部医保政策培训。</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五、具有符合医保协议管理要求的医保管理制度、统计信息管理制度、医疗质量安全核心制度和财务制度等。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院信息系统技术和接口标准，实现与医保信息系统有效对接，按要求向医保信息系统传送全部就诊人员相关信息，为参保人提供直接联网结算。设立医保药品、诊疗项目、医疗服务设施、医用耗材、疾病病种等基础数据库，按规定使用国家和广东省统一的医保编码。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七、为参保人提供基本医疗服务时，收费价格参照深圳市基本医疗服务价格，对同一医疗项目，医保记账价格不高于自费价格（包括会员价、促销价、网络平台团购价等）。</w:t>
      </w:r>
      <w:r>
        <w:rPr>
          <w:rFonts w:hint="eastAsia" w:ascii="仿宋_GB2312" w:hAnsi="仿宋_GB2312" w:eastAsia="仿宋_GB2312" w:cs="仿宋_GB2312"/>
          <w:b w:val="0"/>
          <w:bCs w:val="0"/>
          <w:color w:val="auto"/>
          <w:kern w:val="0"/>
          <w:sz w:val="32"/>
          <w:szCs w:val="32"/>
          <w:highlight w:val="none"/>
          <w:lang w:val="en-US" w:eastAsia="zh-CN"/>
        </w:rPr>
        <w:t>近3个月医疗服务（含基本医疗服务以及医疗美容、生活照护、种植牙等非基本医疗服务）总量及发生的医疗费用明细为全量、真实数据。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医疗机构服务协议书前，已在国家医保信息业务编码标准数据库动态维护平台维护机构基本信息及全部医学技术人员信息，在纳入医保定点后，及时动态维护机构基本信息及医学技术人员信息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本机构将严格遵守上述承诺，申请医保定点过程中所报材料真实、合法、有效，如有不实，愿意承担一切责任、后果。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pStyle w:val="16"/>
        <w:rPr>
          <w:rFonts w:hint="eastAsia" w:eastAsia="仿宋_GB2312"/>
          <w:color w:val="auto"/>
          <w:highlight w:val="none"/>
          <w:lang w:eastAsia="zh-CN"/>
        </w:rPr>
      </w:pPr>
    </w:p>
    <w:p>
      <w:pPr>
        <w:rPr>
          <w:rFonts w:hint="default"/>
          <w:color w:val="auto"/>
          <w:highlight w:val="none"/>
          <w:lang w:val="en-US" w:eastAsia="zh-CN"/>
        </w:rPr>
      </w:pPr>
    </w:p>
    <w:p>
      <w:pPr>
        <w:pStyle w:val="6"/>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8"/>
        <w:spacing w:line="560" w:lineRule="exact"/>
        <w:ind w:firstLine="632" w:firstLineChars="200"/>
        <w:rPr>
          <w:rFonts w:hint="eastAsia" w:ascii="仿宋_GB2312" w:hAnsi="仿宋_GB2312" w:eastAsia="仿宋_GB2312" w:cs="仿宋_GB2312"/>
          <w:color w:val="auto"/>
          <w:kern w:val="0"/>
          <w:szCs w:val="32"/>
          <w:highlight w:val="none"/>
        </w:rPr>
      </w:pPr>
    </w:p>
    <w:p>
      <w:pPr>
        <w:pStyle w:val="8"/>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（三）《事业单位法人证书》、《民办非企业单位登记证书》或《营业执照》等主体资格材料；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四</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（五）</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（七）纳入定点后使用医疗保障基金的预测性分析报告；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（八）《医疗机构申请医保定点承诺书》；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pacing w:val="-4"/>
          <w:szCs w:val="32"/>
          <w:highlight w:val="none"/>
        </w:rPr>
        <w:t>全量医护药技人员的证照等材料</w:t>
      </w:r>
      <w:r>
        <w:rPr>
          <w:rFonts w:hint="eastAsia" w:ascii="仿宋_GB2312" w:hAnsi="仿宋_GB2312" w:eastAsia="仿宋_GB2312" w:cs="仿宋_GB2312"/>
          <w:color w:val="auto"/>
          <w:spacing w:val="-4"/>
          <w:szCs w:val="32"/>
          <w:highlight w:val="none"/>
          <w:lang w:eastAsia="zh-CN"/>
        </w:rPr>
        <w:t>，包括</w:t>
      </w:r>
      <w:r>
        <w:rPr>
          <w:rFonts w:hint="eastAsia" w:ascii="仿宋_GB2312" w:hAnsi="仿宋_GB2312" w:eastAsia="仿宋_GB2312" w:cs="仿宋_GB2312"/>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color w:val="auto"/>
          <w:szCs w:val="32"/>
          <w:highlight w:val="none"/>
        </w:rPr>
        <w:t>卫生专业技术资格证或医学专业学历</w:t>
      </w:r>
      <w:r>
        <w:rPr>
          <w:rFonts w:hint="eastAsia" w:ascii="仿宋_GB2312" w:hAnsi="仿宋_GB2312" w:eastAsia="仿宋_GB2312" w:cs="仿宋_GB2312"/>
          <w:color w:val="auto"/>
          <w:szCs w:val="32"/>
          <w:highlight w:val="none"/>
          <w:lang w:eastAsia="zh-CN"/>
        </w:rPr>
        <w:t>，医技人员劳动合同（</w:t>
      </w:r>
      <w:r>
        <w:rPr>
          <w:rFonts w:hint="eastAsia" w:ascii="仿宋_GB2312" w:hAnsi="仿宋_GB2312" w:eastAsia="仿宋_GB2312" w:cs="仿宋_GB2312"/>
          <w:color w:val="auto"/>
          <w:szCs w:val="32"/>
          <w:highlight w:val="none"/>
        </w:rPr>
        <w:t>或劳务关系证明</w:t>
      </w:r>
      <w:r>
        <w:rPr>
          <w:rFonts w:hint="eastAsia" w:ascii="仿宋_GB2312" w:hAnsi="仿宋_GB2312" w:eastAsia="仿宋_GB2312" w:cs="仿宋_GB2312"/>
          <w:color w:val="auto"/>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kern w:val="0"/>
          <w:szCs w:val="32"/>
          <w:highlight w:val="none"/>
        </w:rPr>
        <w:t>开设的与服务功能相适应的诊断、治疗、手术、住院、药品贮存及发放、检查检验放射等科室及主要仪器设备列表；</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各科室全景照片及各科室主要仪器设备照片；</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卫生健康部门医疗机构评审的结果</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包括等级评定、床位数批复等（申请开通住院服务的需提供）；</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val="0"/>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开展放射诊疗服务、生育保险服务</w:t>
      </w:r>
      <w:r>
        <w:rPr>
          <w:rFonts w:hint="eastAsia" w:ascii="仿宋_GB2312" w:hAnsi="仿宋_GB2312" w:eastAsia="仿宋_GB2312" w:cs="仿宋_GB2312"/>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（六）提交申请</w:t>
      </w:r>
      <w:r>
        <w:rPr>
          <w:rFonts w:hint="eastAsia" w:ascii="仿宋_GB2312" w:hAnsi="仿宋_GB2312" w:eastAsia="仿宋_GB2312" w:cs="仿宋_GB2312"/>
          <w:color w:val="auto"/>
          <w:kern w:val="0"/>
          <w:szCs w:val="32"/>
          <w:highlight w:val="none"/>
          <w:lang w:eastAsia="zh-CN"/>
        </w:rPr>
        <w:t>之日起前</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个月医疗服务（含基本医疗服务以及医疗美容、生活照护、种植牙等非基本医疗服务）总量及发生的医疗费用明细；</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（七）</w:t>
      </w:r>
      <w:r>
        <w:rPr>
          <w:rFonts w:hint="eastAsia" w:ascii="仿宋_GB2312" w:hAnsi="仿宋_GB2312" w:eastAsia="仿宋_GB2312" w:cs="仿宋_GB2312"/>
          <w:color w:val="auto"/>
          <w:kern w:val="0"/>
          <w:szCs w:val="32"/>
          <w:highlight w:val="none"/>
        </w:rPr>
        <w:t>法定代表人、主要负责人和实际控制人身份证；</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（八）</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（九）</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（十）</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16"/>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8"/>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8"/>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pacing w:val="-4"/>
          <w:szCs w:val="32"/>
          <w:highlight w:val="none"/>
        </w:rPr>
        <w:t>全量医护药技人员的证照等材料</w:t>
      </w:r>
      <w:r>
        <w:rPr>
          <w:rFonts w:hint="eastAsia" w:ascii="仿宋_GB2312" w:hAnsi="仿宋_GB2312" w:eastAsia="仿宋_GB2312" w:cs="仿宋_GB2312"/>
          <w:b/>
          <w:bCs/>
          <w:color w:val="auto"/>
          <w:spacing w:val="-4"/>
          <w:szCs w:val="32"/>
          <w:highlight w:val="none"/>
          <w:lang w:eastAsia="zh-CN"/>
        </w:rPr>
        <w:t>，包括</w:t>
      </w:r>
      <w:r>
        <w:rPr>
          <w:rFonts w:hint="eastAsia" w:ascii="仿宋_GB2312" w:hAnsi="仿宋_GB2312" w:eastAsia="仿宋_GB2312" w:cs="仿宋_GB2312"/>
          <w:b/>
          <w:bCs/>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b/>
          <w:bCs/>
          <w:color w:val="auto"/>
          <w:szCs w:val="32"/>
          <w:highlight w:val="none"/>
        </w:rPr>
        <w:t>卫生专业技术资格证或医学专业学历</w:t>
      </w:r>
      <w:r>
        <w:rPr>
          <w:rFonts w:hint="eastAsia" w:ascii="仿宋_GB2312" w:hAnsi="仿宋_GB2312" w:eastAsia="仿宋_GB2312" w:cs="仿宋_GB2312"/>
          <w:b/>
          <w:bCs/>
          <w:color w:val="auto"/>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材料真实，相应证照在有效期内；</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至少1名医师的第一执业地点为本次申请的医疗机构</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开设的每个住院科室是否有3名及以上执业医师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配备有相应执业范围的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kern w:val="0"/>
          <w:szCs w:val="32"/>
          <w:highlight w:val="none"/>
        </w:rPr>
        <w:t>人员，</w:t>
      </w:r>
      <w:r>
        <w:rPr>
          <w:rFonts w:hint="eastAsia" w:ascii="仿宋_GB2312" w:hAnsi="仿宋_GB2312" w:eastAsia="仿宋_GB2312" w:cs="仿宋_GB2312"/>
          <w:color w:val="auto"/>
          <w:szCs w:val="32"/>
          <w:highlight w:val="none"/>
        </w:rPr>
        <w:t>如：</w:t>
      </w:r>
      <w:r>
        <w:rPr>
          <w:rFonts w:hint="eastAsia" w:ascii="仿宋_GB2312" w:hAnsi="仿宋_GB2312" w:eastAsia="仿宋_GB2312" w:cs="仿宋_GB2312"/>
          <w:color w:val="auto"/>
          <w:kern w:val="0"/>
          <w:szCs w:val="32"/>
          <w:highlight w:val="none"/>
        </w:rPr>
        <w:t>具备检验科室的机构配备固定的检验技术人员，</w:t>
      </w:r>
      <w:r>
        <w:rPr>
          <w:rFonts w:hint="eastAsia" w:ascii="仿宋_GB2312" w:hAnsi="仿宋_GB2312" w:eastAsia="仿宋_GB2312" w:cs="仿宋_GB2312"/>
          <w:color w:val="auto"/>
          <w:szCs w:val="32"/>
          <w:highlight w:val="none"/>
        </w:rPr>
        <w:t>具备放射科室的机构配备固定的放射技术人员，开展推拿治疗服务的机构配备符合资质人员等；</w:t>
      </w: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配备的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szCs w:val="32"/>
          <w:highlight w:val="none"/>
        </w:rPr>
        <w:t>人员有相应的资质证书及劳动合同（或劳务关系证明）；</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医技人员数量与治疗服务量规模，以及诊室、治疗床、牙椅等医疗设施数量</w:t>
      </w:r>
      <w:r>
        <w:rPr>
          <w:rFonts w:hint="default" w:ascii="仿宋_GB2312" w:hAnsi="仿宋_GB2312" w:eastAsia="仿宋_GB2312" w:cs="仿宋_GB2312"/>
          <w:color w:val="auto"/>
          <w:szCs w:val="32"/>
          <w:highlight w:val="none"/>
          <w:lang w:val="en"/>
        </w:rPr>
        <w:t>相</w:t>
      </w:r>
      <w:r>
        <w:rPr>
          <w:rFonts w:hint="eastAsia" w:ascii="仿宋_GB2312" w:hAnsi="仿宋_GB2312" w:eastAsia="仿宋_GB2312" w:cs="仿宋_GB2312"/>
          <w:color w:val="auto"/>
          <w:szCs w:val="32"/>
          <w:highlight w:val="none"/>
        </w:rPr>
        <w:t>匹配。</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开设的与服务功能相适应的诊断、治疗、手术、住院、药品贮存及发放、检查检验放射等科室及主要仪器设备列表</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开设的科室在许可证的执业范围内，主要仪器设备应符合卫生健康部门要求；</w:t>
      </w:r>
      <w:r>
        <w:rPr>
          <w:rFonts w:hint="eastAsia" w:ascii="仿宋_GB2312" w:hAnsi="仿宋_GB2312" w:eastAsia="仿宋_GB2312" w:cs="仿宋_GB2312"/>
          <w:color w:val="auto"/>
          <w:kern w:val="0"/>
          <w:szCs w:val="32"/>
          <w:highlight w:val="none"/>
          <w:lang w:val="en-US" w:eastAsia="zh-CN"/>
        </w:rPr>
        <w:t>3.不得</w:t>
      </w:r>
      <w:r>
        <w:rPr>
          <w:rFonts w:hint="eastAsia" w:ascii="仿宋_GB2312" w:hAnsi="仿宋_GB2312" w:eastAsia="仿宋_GB2312" w:cs="仿宋_GB2312"/>
          <w:color w:val="auto"/>
          <w:kern w:val="0"/>
          <w:szCs w:val="32"/>
          <w:highlight w:val="none"/>
        </w:rPr>
        <w:t>存在同一法定代表人（主要负责人、实际控制人）、同一套经营人员、同一套收费系统、没有物理隔离的混合经营情况，</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同一营业地址有机构同时从事医药或养生保健等服务，或在相邻场所使用同一套经营人员、同一套收费系统、同一法定代表人、主要负责人或实际控制人等混同形式变相提供非医疗服务</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情况。</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各科室全景照片及各科室主要仪器设备照片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eastAsia="zh-CN"/>
        </w:rPr>
        <w:t>与现场情况一致</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卫生健康部门医疗机构评审的结果</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包括等级评定、床位数批复等（申请开通住院服务的需提供）</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bCs/>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开展放射诊疗服务、生育保险服务</w:t>
      </w:r>
      <w:r>
        <w:rPr>
          <w:rFonts w:hint="eastAsia" w:ascii="仿宋_GB2312" w:hAnsi="仿宋_GB2312" w:eastAsia="仿宋_GB2312" w:cs="仿宋_GB2312"/>
          <w:b/>
          <w:bCs/>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b w:val="0"/>
          <w:bCs w:val="0"/>
          <w:color w:val="auto"/>
          <w:kern w:val="0"/>
          <w:sz w:val="32"/>
          <w:szCs w:val="32"/>
          <w:highlight w:val="none"/>
          <w:lang w:val="en-US" w:eastAsia="zh-CN" w:bidi="ar-SA"/>
        </w:rPr>
        <w:t>1.材料真实，相应证照在有效期内；2.按规定办理校验且结果为合格。</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（六）</w:t>
      </w:r>
      <w:r>
        <w:rPr>
          <w:rFonts w:hint="eastAsia" w:ascii="仿宋_GB2312" w:hAnsi="仿宋_GB2312" w:eastAsia="仿宋_GB2312" w:cs="仿宋_GB2312"/>
          <w:b/>
          <w:bCs/>
          <w:color w:val="auto"/>
          <w:kern w:val="0"/>
          <w:szCs w:val="32"/>
          <w:highlight w:val="none"/>
          <w:lang w:val="en-US" w:eastAsia="zh-CN"/>
        </w:rPr>
        <w:t>提交申请</w:t>
      </w:r>
      <w:r>
        <w:rPr>
          <w:rFonts w:hint="eastAsia" w:ascii="仿宋_GB2312" w:hAnsi="仿宋_GB2312" w:eastAsia="仿宋_GB2312" w:cs="仿宋_GB2312"/>
          <w:b/>
          <w:bCs/>
          <w:color w:val="auto"/>
          <w:kern w:val="0"/>
          <w:szCs w:val="32"/>
          <w:highlight w:val="none"/>
          <w:lang w:eastAsia="zh-CN"/>
        </w:rPr>
        <w:t>之日起前</w:t>
      </w:r>
      <w:r>
        <w:rPr>
          <w:rFonts w:hint="eastAsia" w:ascii="仿宋_GB2312" w:hAnsi="仿宋_GB2312" w:eastAsia="仿宋_GB2312" w:cs="仿宋_GB2312"/>
          <w:b/>
          <w:bCs/>
          <w:color w:val="auto"/>
          <w:kern w:val="0"/>
          <w:szCs w:val="32"/>
          <w:highlight w:val="none"/>
          <w:lang w:val="en-US" w:eastAsia="zh-CN"/>
        </w:rPr>
        <w:t>3</w:t>
      </w:r>
      <w:r>
        <w:rPr>
          <w:rFonts w:hint="eastAsia" w:ascii="仿宋_GB2312" w:hAnsi="仿宋_GB2312" w:eastAsia="仿宋_GB2312" w:cs="仿宋_GB2312"/>
          <w:b/>
          <w:bCs/>
          <w:color w:val="auto"/>
          <w:kern w:val="0"/>
          <w:szCs w:val="32"/>
          <w:highlight w:val="none"/>
        </w:rPr>
        <w:t>个月医疗服务（含基本医疗服务以及医疗美容、生活照护、种植牙等非基本医疗服务）总量及发生的医疗费用明细</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深圳市基本医疗服务价格项目目录</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kern w:val="0"/>
          <w:szCs w:val="32"/>
          <w:highlight w:val="none"/>
        </w:rPr>
        <w:t>内项目、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广东省基本医疗保险、生育保险和工伤保险药品目录》</w:t>
      </w:r>
      <w:r>
        <w:rPr>
          <w:rFonts w:hint="eastAsia" w:ascii="仿宋_GB2312" w:hAnsi="仿宋_GB2312" w:eastAsia="仿宋_GB2312" w:cs="仿宋_GB2312"/>
          <w:color w:val="auto"/>
          <w:kern w:val="0"/>
          <w:szCs w:val="32"/>
          <w:highlight w:val="none"/>
          <w:lang w:eastAsia="zh-CN"/>
        </w:rPr>
        <w:t>内</w:t>
      </w:r>
      <w:r>
        <w:rPr>
          <w:rFonts w:hint="eastAsia" w:ascii="仿宋_GB2312" w:hAnsi="仿宋_GB2312" w:eastAsia="仿宋_GB2312" w:cs="仿宋_GB2312"/>
          <w:color w:val="auto"/>
          <w:kern w:val="0"/>
          <w:szCs w:val="32"/>
          <w:highlight w:val="none"/>
        </w:rPr>
        <w:t>药品</w:t>
      </w:r>
      <w:r>
        <w:rPr>
          <w:rFonts w:hint="eastAsia" w:ascii="仿宋_GB2312" w:hAnsi="仿宋_GB2312" w:eastAsia="仿宋_GB2312" w:cs="仿宋_GB2312"/>
          <w:color w:val="auto"/>
          <w:kern w:val="0"/>
          <w:szCs w:val="32"/>
          <w:highlight w:val="none"/>
          <w:lang w:eastAsia="zh-CN"/>
        </w:rPr>
        <w:t>、《广东省基本医疗保险、工伤保险和生育保险医用耗材目录》内医用</w:t>
      </w:r>
      <w:r>
        <w:rPr>
          <w:rFonts w:hint="eastAsia" w:ascii="仿宋_GB2312" w:hAnsi="仿宋_GB2312" w:eastAsia="仿宋_GB2312" w:cs="仿宋_GB2312"/>
          <w:color w:val="auto"/>
          <w:kern w:val="0"/>
          <w:szCs w:val="32"/>
          <w:highlight w:val="none"/>
        </w:rPr>
        <w:t>耗材</w:t>
      </w:r>
      <w:r>
        <w:rPr>
          <w:rFonts w:hint="eastAsia" w:ascii="仿宋_GB2312" w:hAnsi="仿宋_GB2312" w:eastAsia="仿宋_GB2312" w:cs="仿宋_GB2312"/>
          <w:color w:val="auto"/>
          <w:kern w:val="0"/>
          <w:szCs w:val="32"/>
          <w:highlight w:val="none"/>
          <w:lang w:val="en-US" w:eastAsia="zh-CN"/>
        </w:rPr>
        <w:t>属于基本医疗服务，</w:t>
      </w:r>
      <w:r>
        <w:rPr>
          <w:rFonts w:hint="eastAsia" w:ascii="仿宋_GB2312" w:hAnsi="仿宋_GB2312" w:eastAsia="仿宋_GB2312" w:cs="仿宋_GB2312"/>
          <w:color w:val="auto"/>
          <w:kern w:val="0"/>
          <w:szCs w:val="32"/>
          <w:highlight w:val="none"/>
        </w:rPr>
        <w:t>涉及的费用计入基本医疗服务费用，计算基本医疗服务费用时以政府指导价为准，其余医药费用计入非基本医疗服务费用</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一次就诊中基本医疗服务费用占该次就诊医疗服务费用大于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的视为一次基本医疗服务服务人次，小于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的视为一次非基本医疗服务服务人次；</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总医疗服务费用与</w:t>
      </w:r>
      <w:r>
        <w:rPr>
          <w:rFonts w:hint="eastAsia" w:ascii="仿宋_GB2312" w:hAnsi="仿宋_GB2312" w:eastAsia="仿宋_GB2312" w:cs="仿宋_GB2312"/>
          <w:color w:val="auto"/>
          <w:kern w:val="0"/>
          <w:szCs w:val="32"/>
          <w:highlight w:val="none"/>
          <w:lang w:eastAsia="zh-CN"/>
        </w:rPr>
        <w:t>财务制度列明的</w:t>
      </w:r>
      <w:r>
        <w:rPr>
          <w:rFonts w:hint="eastAsia" w:ascii="仿宋_GB2312" w:hAnsi="仿宋_GB2312" w:eastAsia="仿宋_GB2312" w:cs="仿宋_GB2312"/>
          <w:color w:val="auto"/>
          <w:kern w:val="0"/>
          <w:szCs w:val="32"/>
          <w:highlight w:val="none"/>
        </w:rPr>
        <w:t>收入账户费用匹配一致，</w:t>
      </w:r>
      <w:r>
        <w:rPr>
          <w:rFonts w:hint="eastAsia" w:ascii="仿宋_GB2312" w:hAnsi="仿宋_GB2312" w:eastAsia="仿宋_GB2312" w:cs="仿宋_GB2312"/>
          <w:color w:val="auto"/>
          <w:szCs w:val="32"/>
          <w:highlight w:val="none"/>
        </w:rPr>
        <w:t>医疗服务明细有相应的病历资料、收费记录、银行收费流水等</w:t>
      </w:r>
      <w:r>
        <w:rPr>
          <w:rFonts w:hint="eastAsia" w:ascii="仿宋_GB2312" w:hAnsi="仿宋_GB2312" w:eastAsia="仿宋_GB2312" w:cs="仿宋_GB2312"/>
          <w:color w:val="auto"/>
          <w:szCs w:val="32"/>
          <w:highlight w:val="none"/>
          <w:lang w:eastAsia="zh-CN"/>
        </w:rPr>
        <w:t>匹配一致</w:t>
      </w:r>
      <w:r>
        <w:rPr>
          <w:rFonts w:hint="eastAsia" w:ascii="仿宋_GB2312" w:hAnsi="仿宋_GB2312" w:eastAsia="仿宋_GB2312" w:cs="仿宋_GB2312"/>
          <w:color w:val="auto"/>
          <w:szCs w:val="32"/>
          <w:highlight w:val="none"/>
        </w:rPr>
        <w:t>，不得存在虚报、漏报的情形；</w:t>
      </w:r>
      <w:r>
        <w:rPr>
          <w:rFonts w:hint="eastAsia" w:ascii="仿宋_GB2312" w:hAnsi="仿宋_GB2312" w:eastAsia="仿宋_GB2312" w:cs="仿宋_GB2312"/>
          <w:color w:val="auto"/>
          <w:szCs w:val="32"/>
          <w:highlight w:val="none"/>
          <w:lang w:val="en-US" w:eastAsia="zh-CN"/>
        </w:rPr>
        <w:t>3.</w:t>
      </w:r>
      <w:r>
        <w:rPr>
          <w:rFonts w:hint="eastAsia" w:ascii="仿宋_GB2312" w:hAnsi="仿宋_GB2312" w:eastAsia="仿宋_GB2312" w:cs="仿宋_GB2312"/>
          <w:b w:val="0"/>
          <w:bCs w:val="0"/>
          <w:strike w:val="0"/>
          <w:dstrike w:val="0"/>
          <w:color w:val="auto"/>
          <w:kern w:val="0"/>
          <w:sz w:val="32"/>
          <w:szCs w:val="32"/>
          <w:highlight w:val="none"/>
          <w:lang w:val="en-US" w:eastAsia="zh-CN"/>
        </w:rPr>
        <w:t>提交申请</w:t>
      </w:r>
      <w:r>
        <w:rPr>
          <w:rFonts w:hint="eastAsia" w:ascii="仿宋_GB2312" w:hAnsi="仿宋_GB2312" w:eastAsia="仿宋_GB2312" w:cs="仿宋_GB2312"/>
          <w:b w:val="0"/>
          <w:bCs w:val="0"/>
          <w:color w:val="auto"/>
          <w:kern w:val="0"/>
          <w:szCs w:val="32"/>
          <w:highlight w:val="none"/>
          <w:lang w:eastAsia="zh-CN"/>
        </w:rPr>
        <w:t>之日起前</w:t>
      </w:r>
      <w:r>
        <w:rPr>
          <w:rFonts w:hint="eastAsia" w:ascii="仿宋_GB2312" w:hAnsi="仿宋_GB2312" w:eastAsia="仿宋_GB2312" w:cs="仿宋_GB2312"/>
          <w:b w:val="0"/>
          <w:bCs w:val="0"/>
          <w:color w:val="auto"/>
          <w:kern w:val="0"/>
          <w:szCs w:val="32"/>
          <w:highlight w:val="none"/>
          <w:lang w:val="en-US" w:eastAsia="zh-CN"/>
        </w:rPr>
        <w:t>3</w:t>
      </w:r>
      <w:r>
        <w:rPr>
          <w:rFonts w:hint="eastAsia" w:ascii="仿宋_GB2312" w:hAnsi="仿宋_GB2312" w:eastAsia="仿宋_GB2312" w:cs="仿宋_GB2312"/>
          <w:b w:val="0"/>
          <w:bCs w:val="0"/>
          <w:color w:val="auto"/>
          <w:kern w:val="0"/>
          <w:szCs w:val="32"/>
          <w:highlight w:val="none"/>
        </w:rPr>
        <w:t>个月</w:t>
      </w:r>
      <w:r>
        <w:rPr>
          <w:rFonts w:hint="eastAsia" w:ascii="仿宋_GB2312" w:hAnsi="仿宋_GB2312" w:eastAsia="仿宋_GB2312" w:cs="仿宋_GB2312"/>
          <w:color w:val="auto"/>
          <w:kern w:val="0"/>
          <w:szCs w:val="32"/>
          <w:highlight w:val="none"/>
        </w:rPr>
        <w:t>非基本医疗服务费用/总医疗费用小于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，且非基本医疗服务服务人次/总医疗服务服务人次小于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szCs w:val="32"/>
          <w:highlight w:val="none"/>
          <w:shd w:val="clear" w:color="auto" w:fill="FFFFFF"/>
          <w:lang w:eastAsia="zh-CN" w:bidi="ar"/>
        </w:rPr>
        <w:t>；</w:t>
      </w:r>
      <w:r>
        <w:rPr>
          <w:rFonts w:hint="eastAsia" w:ascii="仿宋_GB2312" w:hAnsi="仿宋_GB2312" w:eastAsia="仿宋_GB2312" w:cs="仿宋_GB2312"/>
          <w:color w:val="auto"/>
          <w:kern w:val="0"/>
          <w:szCs w:val="32"/>
          <w:highlight w:val="none"/>
          <w:lang w:val="en-US" w:eastAsia="zh-CN"/>
        </w:rPr>
        <w:t>4.</w:t>
      </w:r>
      <w:r>
        <w:rPr>
          <w:rFonts w:hint="eastAsia" w:ascii="仿宋_GB2312" w:hAnsi="仿宋_GB2312" w:eastAsia="仿宋_GB2312" w:cs="仿宋_GB2312"/>
          <w:color w:val="auto"/>
          <w:sz w:val="32"/>
          <w:szCs w:val="32"/>
          <w:highlight w:val="none"/>
          <w:lang w:eastAsia="zh-CN"/>
        </w:rPr>
        <w:t>取得医保管理人员考核合格结果之日距提交申请之日超</w:t>
      </w:r>
      <w:r>
        <w:rPr>
          <w:rFonts w:hint="eastAsia" w:ascii="仿宋_GB2312" w:hAnsi="仿宋_GB2312" w:eastAsia="仿宋_GB2312" w:cs="仿宋_GB2312"/>
          <w:color w:val="auto"/>
          <w:sz w:val="32"/>
          <w:szCs w:val="32"/>
          <w:highlight w:val="none"/>
          <w:lang w:val="en-US" w:eastAsia="zh-CN"/>
        </w:rPr>
        <w:t>1个月的，补充提供</w:t>
      </w:r>
      <w:r>
        <w:rPr>
          <w:rFonts w:hint="eastAsia" w:ascii="仿宋_GB2312" w:hAnsi="仿宋_GB2312" w:eastAsia="仿宋_GB2312" w:cs="仿宋_GB2312"/>
          <w:color w:val="auto"/>
          <w:sz w:val="32"/>
          <w:szCs w:val="32"/>
          <w:highlight w:val="none"/>
          <w:lang w:eastAsia="zh-CN"/>
        </w:rPr>
        <w:t>医保管理人员考核合格结果之日起前</w:t>
      </w:r>
      <w:r>
        <w:rPr>
          <w:rFonts w:hint="eastAsia" w:ascii="仿宋_GB2312" w:hAnsi="仿宋_GB2312" w:eastAsia="仿宋_GB2312" w:cs="仿宋_GB2312"/>
          <w:color w:val="auto"/>
          <w:sz w:val="32"/>
          <w:szCs w:val="32"/>
          <w:highlight w:val="none"/>
          <w:lang w:val="en-US" w:eastAsia="zh-CN"/>
        </w:rPr>
        <w:t>3个月医疗服务情况。</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（七）</w:t>
      </w:r>
      <w:r>
        <w:rPr>
          <w:rFonts w:hint="eastAsia" w:ascii="仿宋_GB2312" w:hAnsi="仿宋_GB2312" w:eastAsia="仿宋_GB2312" w:cs="仿宋_GB2312"/>
          <w:b/>
          <w:bCs/>
          <w:color w:val="auto"/>
          <w:kern w:val="0"/>
          <w:szCs w:val="32"/>
          <w:highlight w:val="none"/>
        </w:rPr>
        <w:t>法定代表人、主要负责人和实际控制人身份证</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材料</w:t>
      </w:r>
      <w:r>
        <w:rPr>
          <w:rFonts w:hint="eastAsia" w:ascii="仿宋_GB2312" w:hAnsi="仿宋_GB2312" w:eastAsia="仿宋_GB2312" w:cs="仿宋_GB2312"/>
          <w:color w:val="auto"/>
          <w:kern w:val="0"/>
          <w:szCs w:val="32"/>
          <w:highlight w:val="none"/>
        </w:rPr>
        <w:t>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（八）</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r>
        <w:rPr>
          <w:rFonts w:hint="eastAsia" w:ascii="仿宋_GB2312" w:hAnsi="仿宋_GB2312" w:eastAsia="仿宋_GB2312" w:cs="仿宋_GB2312"/>
          <w:b/>
          <w:bCs/>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（九）</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（十）</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（一）医疗机构签约所需携带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zh-CN" w:eastAsia="zh-CN"/>
        </w:rPr>
        <w:t>机构公章（证照名称</w:t>
      </w:r>
      <w:r>
        <w:rPr>
          <w:rFonts w:hint="eastAsia" w:ascii="仿宋_GB2312" w:hAnsi="仿宋_GB2312" w:eastAsia="仿宋_GB2312" w:cs="仿宋_GB2312"/>
          <w:color w:val="auto"/>
          <w:sz w:val="32"/>
          <w:szCs w:val="32"/>
          <w:highlight w:val="none"/>
          <w:lang w:val="en-US" w:eastAsia="zh-CN"/>
        </w:rPr>
        <w:t>须</w:t>
      </w:r>
      <w:r>
        <w:rPr>
          <w:rFonts w:hint="default"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申请机构为下属机构的，须携带所属机构公章</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zh-CN" w:eastAsia="zh-CN"/>
        </w:rPr>
        <w:t>《营业执照》</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《事业单位法人证书》或《民办非企业单位法人登记证书》（验原件，收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zh-CN" w:eastAsia="zh-CN"/>
        </w:rPr>
        <w:t>《医疗机构执业许可证》</w:t>
      </w:r>
      <w:r>
        <w:rPr>
          <w:rFonts w:hint="eastAsia" w:ascii="仿宋_GB2312" w:hAnsi="仿宋_GB2312" w:eastAsia="仿宋_GB2312" w:cs="仿宋_GB2312"/>
          <w:color w:val="auto"/>
          <w:sz w:val="32"/>
          <w:szCs w:val="32"/>
          <w:highlight w:val="none"/>
          <w:lang w:val="en-US" w:eastAsia="zh-CN"/>
        </w:rPr>
        <w:t>正、副本或《诊所备案凭证》或《中医诊所备案证》</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default" w:ascii="仿宋_GB2312" w:hAnsi="仿宋_GB2312" w:eastAsia="仿宋_GB2312" w:cs="仿宋_GB2312"/>
          <w:color w:val="auto"/>
          <w:sz w:val="32"/>
          <w:szCs w:val="32"/>
          <w:highlight w:val="none"/>
          <w:lang w:val="zh-CN" w:eastAsia="zh-CN"/>
        </w:rPr>
        <w:t>人身份证（申请机构为下属机构的须携带所属机构法人身份证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r>
        <w:rPr>
          <w:rFonts w:hint="eastAsia" w:ascii="仿宋_GB2312" w:hAnsi="仿宋_GB2312" w:eastAsia="仿宋_GB2312" w:cs="仿宋_GB2312"/>
          <w:color w:val="auto"/>
          <w:sz w:val="32"/>
          <w:szCs w:val="32"/>
          <w:highlight w:val="none"/>
          <w:lang w:val="zh-CN"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b w:val="0"/>
          <w:bCs w:val="0"/>
          <w:color w:val="auto"/>
          <w:sz w:val="32"/>
          <w:szCs w:val="32"/>
          <w:highlight w:val="none"/>
          <w:lang w:val="zh-CN" w:eastAsia="zh-CN"/>
        </w:rPr>
        <w:t>1.社康中心、社康站等有所属机构的新增机构，需同时提供本机构和所属机构的证照；</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市医保中心采取公开招标的方式确定数安时代科技股份有限公司（以下简称“广东CA”）为我市定医疗机构办理单位和个人电子公共服务数字证书（以下简称“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已经通过公示待签约的医疗机构</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拟首次签约的新增定点医疗机构，为本市定点医疗机构的下属机构的，由所属机构在协同平台为其签约。例如院办社康，由其所属医院发起签约申请；</w:t>
      </w:r>
      <w:r>
        <w:rPr>
          <w:rFonts w:hint="eastAsia" w:ascii="仿宋_GB2312" w:hAnsi="仿宋_GB2312" w:eastAsia="仿宋_GB2312" w:cs="仿宋_GB2312"/>
          <w:color w:val="000000"/>
          <w:sz w:val="32"/>
          <w:szCs w:val="32"/>
          <w:highlight w:val="none"/>
          <w:lang w:val="zh-CN" w:eastAsia="zh-CN"/>
        </w:rPr>
        <w:t>为独立法人机构的，在主要信息变更功能完成维护所属机构后发起签约申请。</w:t>
      </w:r>
    </w:p>
    <w:p>
      <w:pPr>
        <w:pStyle w:val="8"/>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8"/>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2"/>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附件7</w:t>
      </w:r>
      <w:bookmarkStart w:id="3" w:name="_GoBack"/>
      <w:bookmarkEnd w:id="3"/>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定点医疗机构应在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附件7-1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（二）完成价格档次告知</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非公立定点</w:t>
      </w:r>
      <w:r>
        <w:rPr>
          <w:rFonts w:hint="eastAsia" w:ascii="仿宋_GB2312" w:hAnsi="仿宋_GB2312" w:eastAsia="仿宋_GB2312" w:cs="仿宋_GB2312"/>
          <w:b w:val="0"/>
          <w:bCs w:val="0"/>
          <w:color w:val="auto"/>
          <w:kern w:val="2"/>
          <w:sz w:val="32"/>
          <w:szCs w:val="32"/>
          <w:highlight w:val="none"/>
          <w:lang w:val="en-US" w:eastAsia="zh-CN"/>
        </w:rPr>
        <w:t>医疗机构应</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后5个工作日内</w:t>
      </w:r>
      <w:r>
        <w:rPr>
          <w:rFonts w:hint="eastAsia" w:ascii="仿宋_GB2312" w:hAnsi="仿宋_GB2312" w:eastAsia="仿宋_GB2312" w:cs="仿宋_GB2312"/>
          <w:color w:val="000000"/>
          <w:kern w:val="0"/>
          <w:sz w:val="32"/>
          <w:szCs w:val="32"/>
          <w:highlight w:val="none"/>
          <w:lang w:val="en-US" w:eastAsia="zh-CN"/>
        </w:rPr>
        <w:t>按要求</w:t>
      </w:r>
      <w:r>
        <w:rPr>
          <w:rFonts w:hint="eastAsia" w:ascii="仿宋_GB2312" w:hAnsi="仿宋_GB2312" w:eastAsia="仿宋_GB2312" w:cs="仿宋_GB2312"/>
          <w:b w:val="0"/>
          <w:bCs w:val="0"/>
          <w:color w:val="auto"/>
          <w:kern w:val="2"/>
          <w:sz w:val="32"/>
          <w:szCs w:val="32"/>
          <w:highlight w:val="none"/>
          <w:lang w:val="en-US" w:eastAsia="zh-CN"/>
        </w:rPr>
        <w:t>完成价格档次书面告知。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1.完善所属机构、结算机构信息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医疗机构完善结算机构信息后市医保中心方可支付职工一档门诊统筹、职工二档和居民医保门诊统筹记账费用，完善所属机构信息后方可支付其他医保记账费用。为正常支付医保记账费用，各新增定点医疗机构应及时申请完善所属机构及结算机构信息，开通职工一档门诊统筹、职工二档和居民医保门诊统筹的新增定点医疗机构应及时申请完善结算机构信息。如因未及时完善相关信息导致月结费用无法及时拨付，后果自行承担。</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若新增定点医疗机构为独立法人机构，其所属机构为本机构。若新增定点医疗机构为本市定点医疗机构的下属机构或分支机构，其所属机构和结算机构信息为上级机构。例如A医院的下属机构B社康为新增定点医疗机构，则B社康的所属机构和结算机构为A医院。若非院办社康与定点医院达成双向转诊结算协议，其所属机构为本机构，结算机构为定点医院（需提供双向转诊结算协议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2.完善绑定标志信息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开通职工二档和居民医保门诊统筹的社区健康服务机构请及时向辖区医保分局申请开通职工二档参保人和居民医保参保人绑定资质。</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3.协同平台操作路径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所属机构、绑定标志：前台受理管理-现场受理管理-主要信息变更，由辖区医保分局审核；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结算机构：前台受理管理-现场受理管理-关键信息变更，由辖区医保分局及市医保中心审核。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新增定点医疗机构使用读卡控件进行读卡，需连接医保专网，通过由医保平台提供的SSCard.dll动态库进行解密，获取医保卡信息返回给使用者。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（五）日审数据申诉业务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医疗机构开通医保记账后，国家医保平台智能监管系统将每日下发日审异常医保记账数据，各定点医疗机构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附件7-2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（六）进驻“深医保”移动工作平台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（七）建设医保服务e站</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（八）悬挂医保定点标识标牌</w:t>
      </w:r>
    </w:p>
    <w:p>
      <w:pPr>
        <w:pStyle w:val="16"/>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附件7-1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定点医疗机构新增协议信息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点击【新增协议】（如图1-1），确认医疗机构，点击【选择】（如图1-2）。</w:t>
      </w:r>
    </w:p>
    <w:p>
      <w:pPr>
        <w:jc w:val="left"/>
        <w:rPr>
          <w:color w:val="auto"/>
          <w:highlight w:val="none"/>
        </w:rPr>
      </w:pPr>
      <w:r>
        <w:rPr>
          <w:color w:val="auto"/>
          <w:highlight w:val="none"/>
        </w:rPr>
        <w:drawing>
          <wp:inline distT="0" distB="0" distL="114300" distR="114300">
            <wp:extent cx="5673725" cy="1691005"/>
            <wp:effectExtent l="0" t="0" r="10795" b="635"/>
            <wp:docPr id="5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0"/>
                    <pic:cNvPicPr>
                      <a:picLocks noChangeAspect="1"/>
                    </pic:cNvPicPr>
                  </pic:nvPicPr>
                  <pic:blipFill>
                    <a:blip r:embed="rId33"/>
                    <a:stretch>
                      <a:fillRect/>
                    </a:stretch>
                  </pic:blipFill>
                  <pic:spPr>
                    <a:xfrm>
                      <a:off x="0" y="0"/>
                      <a:ext cx="5673725" cy="1691005"/>
                    </a:xfrm>
                    <a:prstGeom prst="rect">
                      <a:avLst/>
                    </a:prstGeom>
                    <a:noFill/>
                    <a:ln>
                      <a:noFill/>
                    </a:ln>
                  </pic:spPr>
                </pic:pic>
              </a:graphicData>
            </a:graphic>
          </wp:inline>
        </w:drawing>
      </w:r>
    </w:p>
    <w:p>
      <w:pPr>
        <w:jc w:val="center"/>
        <w:rPr>
          <w:rFonts w:hint="eastAsia" w:ascii="宋体" w:hAnsi="宋体" w:eastAsia="宋体" w:cs="宋体"/>
          <w:color w:val="auto"/>
          <w:sz w:val="24"/>
          <w:szCs w:val="32"/>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left"/>
        <w:rPr>
          <w:color w:val="auto"/>
          <w:highlight w:val="none"/>
        </w:rPr>
      </w:pPr>
      <w:r>
        <w:rPr>
          <w:color w:val="auto"/>
          <w:highlight w:val="none"/>
        </w:rPr>
        <w:drawing>
          <wp:inline distT="0" distB="0" distL="114300" distR="114300">
            <wp:extent cx="5683885" cy="2684145"/>
            <wp:effectExtent l="0" t="0" r="635" b="13335"/>
            <wp:docPr id="5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1"/>
                    <pic:cNvPicPr>
                      <a:picLocks noChangeAspect="1"/>
                    </pic:cNvPicPr>
                  </pic:nvPicPr>
                  <pic:blipFill>
                    <a:blip r:embed="rId34"/>
                    <a:stretch>
                      <a:fillRect/>
                    </a:stretch>
                  </pic:blipFill>
                  <pic:spPr>
                    <a:xfrm>
                      <a:off x="0" y="0"/>
                      <a:ext cx="5683885" cy="268414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协议服务范围：根据所签订协议书上的服务范围据实选择。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定点医疗机构收费等级：与价格档次对应，一档为一级、二档为二级、三档为三级、四档为未定级。基层医疗机构一般选“未定级”。</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定点协议服务对象：城镇职工、城乡居民。异地就医（按实际情况勾选）。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定点协议名称：非必填。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定点协议类型：主协议。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协议签订时间：首次签订协议之日。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定点医疗机构服务协议书电子档案：上传已签订协议书的扫描件或线上签约的电子协议书PDF文件。</w:t>
      </w:r>
    </w:p>
    <w:p>
      <w:pPr>
        <w:jc w:val="left"/>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686425" cy="2593340"/>
            <wp:effectExtent l="0" t="0" r="13335" b="12700"/>
            <wp:docPr id="6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2"/>
                    <pic:cNvPicPr>
                      <a:picLocks noChangeAspect="1"/>
                    </pic:cNvPicPr>
                  </pic:nvPicPr>
                  <pic:blipFill>
                    <a:blip r:embed="rId35"/>
                    <a:stretch>
                      <a:fillRect/>
                    </a:stretch>
                  </pic:blipFill>
                  <pic:spPr>
                    <a:xfrm>
                      <a:off x="0" y="0"/>
                      <a:ext cx="5686425" cy="25933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atLeast"/>
        <w:ind w:firstLine="632" w:firstLineChars="200"/>
        <w:jc w:val="left"/>
        <w:textAlignment w:val="auto"/>
        <w:rPr>
          <w:rFonts w:hint="eastAsia" w:ascii="仿宋_GB2312" w:hAnsi="仿宋_GB2312" w:eastAsia="仿宋_GB2312" w:cs="仿宋_GB2312"/>
          <w:b/>
          <w:bCs/>
          <w:color w:val="auto"/>
          <w:sz w:val="32"/>
          <w:szCs w:val="32"/>
          <w:highlight w:val="none"/>
          <w:lang w:val="en" w:eastAsia="zh-CN"/>
        </w:rPr>
      </w:pPr>
      <w:r>
        <w:rPr>
          <w:rFonts w:hint="eastAsia" w:ascii="仿宋_GB2312" w:hAnsi="仿宋_GB2312" w:eastAsia="仿宋_GB2312" w:cs="仿宋_GB2312"/>
          <w:b/>
          <w:bCs/>
          <w:color w:val="auto"/>
          <w:sz w:val="32"/>
          <w:szCs w:val="32"/>
          <w:highlight w:val="none"/>
          <w:lang w:val="en" w:eastAsia="zh-CN"/>
        </w:rPr>
        <w:t>线上签约协议书下载方法：</w:t>
      </w:r>
    </w:p>
    <w:p>
      <w:pPr>
        <w:pStyle w:val="16"/>
        <w:keepNext w:val="0"/>
        <w:keepLines w:val="0"/>
        <w:pageBreakBefore w:val="0"/>
        <w:widowControl w:val="0"/>
        <w:kinsoku/>
        <w:wordWrap/>
        <w:overflowPunct/>
        <w:topLinePunct w:val="0"/>
        <w:bidi w:val="0"/>
        <w:snapToGrid/>
        <w:spacing w:line="560" w:lineRule="atLeas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drawing>
          <wp:inline distT="0" distB="0" distL="114300" distR="114300">
            <wp:extent cx="5256530" cy="2448560"/>
            <wp:effectExtent l="0" t="0" r="1270" b="5080"/>
            <wp:docPr id="49" name="图片 43"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descr="C:\Users\78512\Desktop\附件8-2.png附件8-2"/>
                    <pic:cNvPicPr>
                      <a:picLocks noChangeAspect="1"/>
                    </pic:cNvPicPr>
                  </pic:nvPicPr>
                  <pic:blipFill>
                    <a:blip r:embed="rId36"/>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第三步</w:t>
      </w:r>
      <w:r>
        <w:rPr>
          <w:rFonts w:hint="eastAsia" w:ascii="仿宋" w:hAnsi="仿宋" w:eastAsia="仿宋" w:cs="仿宋"/>
          <w:color w:val="auto"/>
          <w:sz w:val="32"/>
          <w:szCs w:val="32"/>
          <w:highlight w:val="none"/>
          <w:lang w:val="en-US" w:eastAsia="zh-CN"/>
        </w:rPr>
        <w:t>：点击【保存】，待所属分局审核，请关注审核进度。</w:t>
      </w: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附件7-2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16"/>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7"/>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8"/>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9"/>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61312"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40"/>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41"/>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42"/>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43"/>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44"/>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45"/>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46"/>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7"/>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8"/>
                    <a:stretch>
                      <a:fillRect/>
                    </a:stretch>
                  </pic:blipFill>
                  <pic:spPr>
                    <a:xfrm>
                      <a:off x="0" y="0"/>
                      <a:ext cx="5271770" cy="2439670"/>
                    </a:xfrm>
                    <a:prstGeom prst="rect">
                      <a:avLst/>
                    </a:prstGeom>
                    <a:noFill/>
                    <a:ln>
                      <a:noFill/>
                    </a:ln>
                  </pic:spPr>
                </pic:pic>
              </a:graphicData>
            </a:graphic>
          </wp:inline>
        </w:drawing>
      </w: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E3B70"/>
    <w:rsid w:val="003313FB"/>
    <w:rsid w:val="003F20C8"/>
    <w:rsid w:val="0040196F"/>
    <w:rsid w:val="004A165D"/>
    <w:rsid w:val="005A76EE"/>
    <w:rsid w:val="008C1871"/>
    <w:rsid w:val="008C73E5"/>
    <w:rsid w:val="00AB33DE"/>
    <w:rsid w:val="00AB6A36"/>
    <w:rsid w:val="00B215C8"/>
    <w:rsid w:val="00CD63F3"/>
    <w:rsid w:val="011A52DC"/>
    <w:rsid w:val="01243D94"/>
    <w:rsid w:val="013C11B7"/>
    <w:rsid w:val="014A5F74"/>
    <w:rsid w:val="01644AB6"/>
    <w:rsid w:val="0193633E"/>
    <w:rsid w:val="01AB7EFD"/>
    <w:rsid w:val="01AC56A1"/>
    <w:rsid w:val="01C14CF4"/>
    <w:rsid w:val="01C6253C"/>
    <w:rsid w:val="01C725F7"/>
    <w:rsid w:val="01F01E3C"/>
    <w:rsid w:val="01FE3350"/>
    <w:rsid w:val="02015D87"/>
    <w:rsid w:val="021D0BDF"/>
    <w:rsid w:val="02567E5F"/>
    <w:rsid w:val="02991BB8"/>
    <w:rsid w:val="029D16E1"/>
    <w:rsid w:val="029F14CA"/>
    <w:rsid w:val="02A467F2"/>
    <w:rsid w:val="02DA30E7"/>
    <w:rsid w:val="02DC70A9"/>
    <w:rsid w:val="02EE59E6"/>
    <w:rsid w:val="037F6757"/>
    <w:rsid w:val="03B16A14"/>
    <w:rsid w:val="040232F2"/>
    <w:rsid w:val="040A7467"/>
    <w:rsid w:val="045B14A6"/>
    <w:rsid w:val="045F2EBA"/>
    <w:rsid w:val="046C16AF"/>
    <w:rsid w:val="04AB0032"/>
    <w:rsid w:val="04DD5C4D"/>
    <w:rsid w:val="04EF66A6"/>
    <w:rsid w:val="04F7112F"/>
    <w:rsid w:val="04FF173F"/>
    <w:rsid w:val="050A0DD5"/>
    <w:rsid w:val="05370806"/>
    <w:rsid w:val="05441D1A"/>
    <w:rsid w:val="05570830"/>
    <w:rsid w:val="05922FA0"/>
    <w:rsid w:val="05C86DE7"/>
    <w:rsid w:val="05FE23E4"/>
    <w:rsid w:val="061519A9"/>
    <w:rsid w:val="061D4115"/>
    <w:rsid w:val="06247B95"/>
    <w:rsid w:val="06306035"/>
    <w:rsid w:val="06462747"/>
    <w:rsid w:val="06A52D74"/>
    <w:rsid w:val="06D14A9E"/>
    <w:rsid w:val="06FE1A0B"/>
    <w:rsid w:val="070A631C"/>
    <w:rsid w:val="070C307C"/>
    <w:rsid w:val="070D3A1D"/>
    <w:rsid w:val="073F33EF"/>
    <w:rsid w:val="07687BBF"/>
    <w:rsid w:val="076F023F"/>
    <w:rsid w:val="077E2A57"/>
    <w:rsid w:val="079F0915"/>
    <w:rsid w:val="07CD41D0"/>
    <w:rsid w:val="07DE1B77"/>
    <w:rsid w:val="084D20A0"/>
    <w:rsid w:val="085B49C4"/>
    <w:rsid w:val="085E3502"/>
    <w:rsid w:val="085E3E8A"/>
    <w:rsid w:val="08674291"/>
    <w:rsid w:val="08897A92"/>
    <w:rsid w:val="08D00067"/>
    <w:rsid w:val="08D062B9"/>
    <w:rsid w:val="08E7696B"/>
    <w:rsid w:val="09187E30"/>
    <w:rsid w:val="093B368D"/>
    <w:rsid w:val="095E30B1"/>
    <w:rsid w:val="09816CC9"/>
    <w:rsid w:val="09841782"/>
    <w:rsid w:val="09D84143"/>
    <w:rsid w:val="09FA7600"/>
    <w:rsid w:val="0A7A4BA8"/>
    <w:rsid w:val="0A831431"/>
    <w:rsid w:val="0A971D70"/>
    <w:rsid w:val="0AC80543"/>
    <w:rsid w:val="0AE85263"/>
    <w:rsid w:val="0B243918"/>
    <w:rsid w:val="0B4D1B74"/>
    <w:rsid w:val="0B5346A2"/>
    <w:rsid w:val="0B903857"/>
    <w:rsid w:val="0B9E129E"/>
    <w:rsid w:val="0BCA2B31"/>
    <w:rsid w:val="0BCB51A1"/>
    <w:rsid w:val="0C9336AD"/>
    <w:rsid w:val="0CB7585C"/>
    <w:rsid w:val="0CBA4B8C"/>
    <w:rsid w:val="0CC0209E"/>
    <w:rsid w:val="0CC56B02"/>
    <w:rsid w:val="0CE31B06"/>
    <w:rsid w:val="0D127C2C"/>
    <w:rsid w:val="0D5E5CCE"/>
    <w:rsid w:val="0DEF74E9"/>
    <w:rsid w:val="0DF626F7"/>
    <w:rsid w:val="0E100420"/>
    <w:rsid w:val="0E151D01"/>
    <w:rsid w:val="0E314776"/>
    <w:rsid w:val="0E48771C"/>
    <w:rsid w:val="0E4D3765"/>
    <w:rsid w:val="0E623A18"/>
    <w:rsid w:val="0E9D69A2"/>
    <w:rsid w:val="0EB2020F"/>
    <w:rsid w:val="0EB60EDD"/>
    <w:rsid w:val="0F5012D6"/>
    <w:rsid w:val="0F7B3892"/>
    <w:rsid w:val="0F7D6986"/>
    <w:rsid w:val="0FD2175C"/>
    <w:rsid w:val="0FE96B90"/>
    <w:rsid w:val="0FF34F54"/>
    <w:rsid w:val="103D58C9"/>
    <w:rsid w:val="104D639F"/>
    <w:rsid w:val="10505312"/>
    <w:rsid w:val="105421D6"/>
    <w:rsid w:val="105D288F"/>
    <w:rsid w:val="10C15808"/>
    <w:rsid w:val="10D11355"/>
    <w:rsid w:val="10D37873"/>
    <w:rsid w:val="10E179FB"/>
    <w:rsid w:val="10F1115B"/>
    <w:rsid w:val="112F78D4"/>
    <w:rsid w:val="11484717"/>
    <w:rsid w:val="11A8684D"/>
    <w:rsid w:val="11A93FF4"/>
    <w:rsid w:val="11B03C20"/>
    <w:rsid w:val="11B05D16"/>
    <w:rsid w:val="11B4471C"/>
    <w:rsid w:val="11BC3D26"/>
    <w:rsid w:val="120121BD"/>
    <w:rsid w:val="12044A53"/>
    <w:rsid w:val="123C724D"/>
    <w:rsid w:val="124318AA"/>
    <w:rsid w:val="12615F10"/>
    <w:rsid w:val="129B0468"/>
    <w:rsid w:val="12AE17B9"/>
    <w:rsid w:val="12C4251A"/>
    <w:rsid w:val="12EC1AAA"/>
    <w:rsid w:val="130F7E50"/>
    <w:rsid w:val="137E6B56"/>
    <w:rsid w:val="13872098"/>
    <w:rsid w:val="13900875"/>
    <w:rsid w:val="13CA3E07"/>
    <w:rsid w:val="13E10C14"/>
    <w:rsid w:val="13F413C8"/>
    <w:rsid w:val="14074247"/>
    <w:rsid w:val="140B3756"/>
    <w:rsid w:val="141179E4"/>
    <w:rsid w:val="145B12A4"/>
    <w:rsid w:val="145F774D"/>
    <w:rsid w:val="149E04C8"/>
    <w:rsid w:val="14D97769"/>
    <w:rsid w:val="14DB7F08"/>
    <w:rsid w:val="14E55858"/>
    <w:rsid w:val="1504288A"/>
    <w:rsid w:val="153B3073"/>
    <w:rsid w:val="154A2FFE"/>
    <w:rsid w:val="156B6B5D"/>
    <w:rsid w:val="15811A32"/>
    <w:rsid w:val="15A77A54"/>
    <w:rsid w:val="15AC36C9"/>
    <w:rsid w:val="15CA4623"/>
    <w:rsid w:val="15CC150A"/>
    <w:rsid w:val="15DB6743"/>
    <w:rsid w:val="15ED6F84"/>
    <w:rsid w:val="15F2316C"/>
    <w:rsid w:val="15FD0292"/>
    <w:rsid w:val="16276B81"/>
    <w:rsid w:val="162B4831"/>
    <w:rsid w:val="16386A6E"/>
    <w:rsid w:val="16400D80"/>
    <w:rsid w:val="16753471"/>
    <w:rsid w:val="16757410"/>
    <w:rsid w:val="16A803DE"/>
    <w:rsid w:val="174309E2"/>
    <w:rsid w:val="17A77336"/>
    <w:rsid w:val="17B7378B"/>
    <w:rsid w:val="17BE0504"/>
    <w:rsid w:val="17E63C0E"/>
    <w:rsid w:val="17EC08AA"/>
    <w:rsid w:val="17F06755"/>
    <w:rsid w:val="18024BDD"/>
    <w:rsid w:val="189E404F"/>
    <w:rsid w:val="18A20777"/>
    <w:rsid w:val="18A254E0"/>
    <w:rsid w:val="18B10D91"/>
    <w:rsid w:val="19091420"/>
    <w:rsid w:val="19284C7E"/>
    <w:rsid w:val="19606756"/>
    <w:rsid w:val="19C61A45"/>
    <w:rsid w:val="1A1014FB"/>
    <w:rsid w:val="1A121F28"/>
    <w:rsid w:val="1A275FE8"/>
    <w:rsid w:val="1A355D1B"/>
    <w:rsid w:val="1A4705D2"/>
    <w:rsid w:val="1ABB1F8D"/>
    <w:rsid w:val="1AE63222"/>
    <w:rsid w:val="1B013508"/>
    <w:rsid w:val="1B160C5E"/>
    <w:rsid w:val="1B3A144B"/>
    <w:rsid w:val="1B620683"/>
    <w:rsid w:val="1B695E61"/>
    <w:rsid w:val="1B6A345E"/>
    <w:rsid w:val="1B6E1AFC"/>
    <w:rsid w:val="1BDF5CE8"/>
    <w:rsid w:val="1C101C2D"/>
    <w:rsid w:val="1C1A2395"/>
    <w:rsid w:val="1C346CD9"/>
    <w:rsid w:val="1C401C39"/>
    <w:rsid w:val="1C73704F"/>
    <w:rsid w:val="1C79141D"/>
    <w:rsid w:val="1C910559"/>
    <w:rsid w:val="1C9D4BA3"/>
    <w:rsid w:val="1CA91A36"/>
    <w:rsid w:val="1CBD494F"/>
    <w:rsid w:val="1CEA5855"/>
    <w:rsid w:val="1CFC5E9D"/>
    <w:rsid w:val="1D147CC1"/>
    <w:rsid w:val="1D525CF2"/>
    <w:rsid w:val="1DB44EAA"/>
    <w:rsid w:val="1DBC2B8F"/>
    <w:rsid w:val="1DD55681"/>
    <w:rsid w:val="1DD90774"/>
    <w:rsid w:val="1DFA5DE8"/>
    <w:rsid w:val="1DFC5D9A"/>
    <w:rsid w:val="1DFE6FCD"/>
    <w:rsid w:val="1E3119FD"/>
    <w:rsid w:val="1E3368D3"/>
    <w:rsid w:val="1E45337F"/>
    <w:rsid w:val="1ECD07CD"/>
    <w:rsid w:val="1EEE22CE"/>
    <w:rsid w:val="1EFB52BB"/>
    <w:rsid w:val="1F242119"/>
    <w:rsid w:val="1F363A63"/>
    <w:rsid w:val="1F7807AF"/>
    <w:rsid w:val="1F8C72B0"/>
    <w:rsid w:val="1FC67B7A"/>
    <w:rsid w:val="20005613"/>
    <w:rsid w:val="20573EE6"/>
    <w:rsid w:val="20BE0AC7"/>
    <w:rsid w:val="211762CF"/>
    <w:rsid w:val="214E2934"/>
    <w:rsid w:val="21535882"/>
    <w:rsid w:val="217971B5"/>
    <w:rsid w:val="218562F9"/>
    <w:rsid w:val="22364E30"/>
    <w:rsid w:val="223E6D1E"/>
    <w:rsid w:val="227B52F5"/>
    <w:rsid w:val="229227FC"/>
    <w:rsid w:val="22C24A14"/>
    <w:rsid w:val="22CE0BF2"/>
    <w:rsid w:val="22D102CF"/>
    <w:rsid w:val="22D60669"/>
    <w:rsid w:val="22D80D84"/>
    <w:rsid w:val="232A233B"/>
    <w:rsid w:val="232C6642"/>
    <w:rsid w:val="23300A3F"/>
    <w:rsid w:val="233C0E37"/>
    <w:rsid w:val="234C7698"/>
    <w:rsid w:val="23723FBA"/>
    <w:rsid w:val="2396026F"/>
    <w:rsid w:val="23D200D4"/>
    <w:rsid w:val="23DB76DF"/>
    <w:rsid w:val="24036245"/>
    <w:rsid w:val="240D617F"/>
    <w:rsid w:val="241672DD"/>
    <w:rsid w:val="241708FB"/>
    <w:rsid w:val="241844BD"/>
    <w:rsid w:val="24231DAC"/>
    <w:rsid w:val="244C24FA"/>
    <w:rsid w:val="245034E6"/>
    <w:rsid w:val="245B4FC0"/>
    <w:rsid w:val="248B1094"/>
    <w:rsid w:val="24C11AC9"/>
    <w:rsid w:val="24DE5926"/>
    <w:rsid w:val="24FB55B8"/>
    <w:rsid w:val="25254C5A"/>
    <w:rsid w:val="25417F96"/>
    <w:rsid w:val="259037E6"/>
    <w:rsid w:val="25AA3302"/>
    <w:rsid w:val="25C35DEF"/>
    <w:rsid w:val="25E57640"/>
    <w:rsid w:val="25F93AF2"/>
    <w:rsid w:val="26200433"/>
    <w:rsid w:val="262139D6"/>
    <w:rsid w:val="26235823"/>
    <w:rsid w:val="26633A17"/>
    <w:rsid w:val="26E958F9"/>
    <w:rsid w:val="26EE5481"/>
    <w:rsid w:val="26EE76EF"/>
    <w:rsid w:val="271B20BE"/>
    <w:rsid w:val="27210041"/>
    <w:rsid w:val="27357461"/>
    <w:rsid w:val="27556AE4"/>
    <w:rsid w:val="27777256"/>
    <w:rsid w:val="277E7F42"/>
    <w:rsid w:val="27A31485"/>
    <w:rsid w:val="27BE1944"/>
    <w:rsid w:val="27C967C7"/>
    <w:rsid w:val="27D150E1"/>
    <w:rsid w:val="27E77002"/>
    <w:rsid w:val="280332CA"/>
    <w:rsid w:val="284B5588"/>
    <w:rsid w:val="28AC3DAD"/>
    <w:rsid w:val="28CA1CFF"/>
    <w:rsid w:val="28CA29CB"/>
    <w:rsid w:val="28D22706"/>
    <w:rsid w:val="28E219C5"/>
    <w:rsid w:val="28FB28EE"/>
    <w:rsid w:val="29061BF2"/>
    <w:rsid w:val="29474CAF"/>
    <w:rsid w:val="2999739E"/>
    <w:rsid w:val="29E3739C"/>
    <w:rsid w:val="2A134397"/>
    <w:rsid w:val="2A16531B"/>
    <w:rsid w:val="2A2F4546"/>
    <w:rsid w:val="2A62443A"/>
    <w:rsid w:val="2A65091E"/>
    <w:rsid w:val="2A85369C"/>
    <w:rsid w:val="2AB033FD"/>
    <w:rsid w:val="2ABB774C"/>
    <w:rsid w:val="2ABD408D"/>
    <w:rsid w:val="2AE23476"/>
    <w:rsid w:val="2AF81A5A"/>
    <w:rsid w:val="2B02491D"/>
    <w:rsid w:val="2B683386"/>
    <w:rsid w:val="2B7C7BC1"/>
    <w:rsid w:val="2BAC2771"/>
    <w:rsid w:val="2BB967A4"/>
    <w:rsid w:val="2BEB75B2"/>
    <w:rsid w:val="2BEE60A5"/>
    <w:rsid w:val="2BF04F1E"/>
    <w:rsid w:val="2C261ED0"/>
    <w:rsid w:val="2C327F60"/>
    <w:rsid w:val="2C3342E6"/>
    <w:rsid w:val="2C5869DA"/>
    <w:rsid w:val="2C7375A2"/>
    <w:rsid w:val="2C83152E"/>
    <w:rsid w:val="2C8B24A1"/>
    <w:rsid w:val="2C917C2E"/>
    <w:rsid w:val="2CA4787D"/>
    <w:rsid w:val="2CAD3644"/>
    <w:rsid w:val="2CC91BDE"/>
    <w:rsid w:val="2CD01CB6"/>
    <w:rsid w:val="2CE61FDC"/>
    <w:rsid w:val="2D0E7D61"/>
    <w:rsid w:val="2D2D42AE"/>
    <w:rsid w:val="2D562E6F"/>
    <w:rsid w:val="2D7D62B0"/>
    <w:rsid w:val="2D8D045E"/>
    <w:rsid w:val="2D8E421C"/>
    <w:rsid w:val="2D9C612E"/>
    <w:rsid w:val="2DA90D03"/>
    <w:rsid w:val="2DA960B4"/>
    <w:rsid w:val="2DBF729E"/>
    <w:rsid w:val="2DD3023A"/>
    <w:rsid w:val="2DD76C40"/>
    <w:rsid w:val="2DEA09D6"/>
    <w:rsid w:val="2E0929AB"/>
    <w:rsid w:val="2E2C366A"/>
    <w:rsid w:val="2E6903FD"/>
    <w:rsid w:val="2E6B2815"/>
    <w:rsid w:val="2E755964"/>
    <w:rsid w:val="2EA53E15"/>
    <w:rsid w:val="2EDA13D2"/>
    <w:rsid w:val="2EFF3E61"/>
    <w:rsid w:val="2F0D6469"/>
    <w:rsid w:val="2F1D27DA"/>
    <w:rsid w:val="2F5E55A1"/>
    <w:rsid w:val="2F666452"/>
    <w:rsid w:val="2F706AF8"/>
    <w:rsid w:val="2F992124"/>
    <w:rsid w:val="2FB177F0"/>
    <w:rsid w:val="2FCE4F6B"/>
    <w:rsid w:val="2FD86AB4"/>
    <w:rsid w:val="2FDA58BC"/>
    <w:rsid w:val="2FDC1914"/>
    <w:rsid w:val="2FEB5544"/>
    <w:rsid w:val="2FEC62C2"/>
    <w:rsid w:val="301C48FC"/>
    <w:rsid w:val="30451BBC"/>
    <w:rsid w:val="305C623A"/>
    <w:rsid w:val="306275EE"/>
    <w:rsid w:val="306F6904"/>
    <w:rsid w:val="308E71B9"/>
    <w:rsid w:val="30930E2E"/>
    <w:rsid w:val="309B5D53"/>
    <w:rsid w:val="309E1164"/>
    <w:rsid w:val="30AC7F83"/>
    <w:rsid w:val="30C82816"/>
    <w:rsid w:val="311B2CAC"/>
    <w:rsid w:val="312C0D1D"/>
    <w:rsid w:val="315A14F5"/>
    <w:rsid w:val="31AC5C5F"/>
    <w:rsid w:val="31BB32A6"/>
    <w:rsid w:val="31EA1830"/>
    <w:rsid w:val="32245452"/>
    <w:rsid w:val="324032FC"/>
    <w:rsid w:val="32794D73"/>
    <w:rsid w:val="32977D28"/>
    <w:rsid w:val="32A01F88"/>
    <w:rsid w:val="32B530FE"/>
    <w:rsid w:val="32D60F2A"/>
    <w:rsid w:val="332B5883"/>
    <w:rsid w:val="332E14C6"/>
    <w:rsid w:val="33A71E17"/>
    <w:rsid w:val="33C4368A"/>
    <w:rsid w:val="342F13CF"/>
    <w:rsid w:val="34744190"/>
    <w:rsid w:val="34AC6055"/>
    <w:rsid w:val="34B04324"/>
    <w:rsid w:val="34D11437"/>
    <w:rsid w:val="34EE320F"/>
    <w:rsid w:val="353103B5"/>
    <w:rsid w:val="356E4078"/>
    <w:rsid w:val="35AE1D1F"/>
    <w:rsid w:val="35E06731"/>
    <w:rsid w:val="35E35D56"/>
    <w:rsid w:val="3665370B"/>
    <w:rsid w:val="36676D44"/>
    <w:rsid w:val="3697461C"/>
    <w:rsid w:val="36AD5DC8"/>
    <w:rsid w:val="37031681"/>
    <w:rsid w:val="37D84221"/>
    <w:rsid w:val="381F7BCF"/>
    <w:rsid w:val="386441BC"/>
    <w:rsid w:val="38697929"/>
    <w:rsid w:val="38733B2C"/>
    <w:rsid w:val="38BE314C"/>
    <w:rsid w:val="38D94D40"/>
    <w:rsid w:val="38E1287E"/>
    <w:rsid w:val="38F24E7A"/>
    <w:rsid w:val="38FE3794"/>
    <w:rsid w:val="39C12F31"/>
    <w:rsid w:val="39C20ECF"/>
    <w:rsid w:val="39CF173B"/>
    <w:rsid w:val="39E06281"/>
    <w:rsid w:val="39FD5F33"/>
    <w:rsid w:val="3A0869AF"/>
    <w:rsid w:val="3A150B95"/>
    <w:rsid w:val="3A2D5D22"/>
    <w:rsid w:val="3A7257F0"/>
    <w:rsid w:val="3A7F2907"/>
    <w:rsid w:val="3AB605BC"/>
    <w:rsid w:val="3AC53B44"/>
    <w:rsid w:val="3B5526AE"/>
    <w:rsid w:val="3B5B20B0"/>
    <w:rsid w:val="3B926F4C"/>
    <w:rsid w:val="3BAD6C67"/>
    <w:rsid w:val="3BCE7D50"/>
    <w:rsid w:val="3BD740D2"/>
    <w:rsid w:val="3C044BFB"/>
    <w:rsid w:val="3C0B4130"/>
    <w:rsid w:val="3C312E3A"/>
    <w:rsid w:val="3C5532E6"/>
    <w:rsid w:val="3C831601"/>
    <w:rsid w:val="3C8666FD"/>
    <w:rsid w:val="3C9D0CEE"/>
    <w:rsid w:val="3CCD585C"/>
    <w:rsid w:val="3CD75D12"/>
    <w:rsid w:val="3CDE5E1A"/>
    <w:rsid w:val="3CE4189F"/>
    <w:rsid w:val="3CED2681"/>
    <w:rsid w:val="3CF57F54"/>
    <w:rsid w:val="3D2428A1"/>
    <w:rsid w:val="3D4240D5"/>
    <w:rsid w:val="3E00155A"/>
    <w:rsid w:val="3E063B67"/>
    <w:rsid w:val="3E0A262C"/>
    <w:rsid w:val="3E0A2E58"/>
    <w:rsid w:val="3E130DBA"/>
    <w:rsid w:val="3E175A62"/>
    <w:rsid w:val="3E3A0C4B"/>
    <w:rsid w:val="3E58403D"/>
    <w:rsid w:val="3E772188"/>
    <w:rsid w:val="3E9C73C7"/>
    <w:rsid w:val="3EA93C5B"/>
    <w:rsid w:val="3EF06066"/>
    <w:rsid w:val="3F0A1A91"/>
    <w:rsid w:val="3F0A51E9"/>
    <w:rsid w:val="3F117BD4"/>
    <w:rsid w:val="3F503317"/>
    <w:rsid w:val="3F762BC4"/>
    <w:rsid w:val="3FA325A6"/>
    <w:rsid w:val="3FC77001"/>
    <w:rsid w:val="401E2E70"/>
    <w:rsid w:val="4025178B"/>
    <w:rsid w:val="402B6356"/>
    <w:rsid w:val="40484A01"/>
    <w:rsid w:val="4083655F"/>
    <w:rsid w:val="40A76F69"/>
    <w:rsid w:val="40DD6179"/>
    <w:rsid w:val="410A13D7"/>
    <w:rsid w:val="411936F5"/>
    <w:rsid w:val="4125361D"/>
    <w:rsid w:val="41407380"/>
    <w:rsid w:val="41AB4A33"/>
    <w:rsid w:val="41AD502C"/>
    <w:rsid w:val="41EF7327"/>
    <w:rsid w:val="420D418A"/>
    <w:rsid w:val="42631478"/>
    <w:rsid w:val="42696D48"/>
    <w:rsid w:val="428C41FC"/>
    <w:rsid w:val="4292081F"/>
    <w:rsid w:val="42B52703"/>
    <w:rsid w:val="42E27A71"/>
    <w:rsid w:val="42F71CEC"/>
    <w:rsid w:val="42FB34F7"/>
    <w:rsid w:val="433F1A00"/>
    <w:rsid w:val="43410E67"/>
    <w:rsid w:val="43544FFA"/>
    <w:rsid w:val="4384276F"/>
    <w:rsid w:val="439830F9"/>
    <w:rsid w:val="439A007D"/>
    <w:rsid w:val="4406524B"/>
    <w:rsid w:val="44143923"/>
    <w:rsid w:val="442411F9"/>
    <w:rsid w:val="443067BA"/>
    <w:rsid w:val="44403B4E"/>
    <w:rsid w:val="444A2031"/>
    <w:rsid w:val="445A1C66"/>
    <w:rsid w:val="44831473"/>
    <w:rsid w:val="44B85FFB"/>
    <w:rsid w:val="44C91BE7"/>
    <w:rsid w:val="44D13396"/>
    <w:rsid w:val="44D82202"/>
    <w:rsid w:val="45116C86"/>
    <w:rsid w:val="451B42BA"/>
    <w:rsid w:val="452627E2"/>
    <w:rsid w:val="45543D4A"/>
    <w:rsid w:val="45C656E1"/>
    <w:rsid w:val="45F63444"/>
    <w:rsid w:val="461A651E"/>
    <w:rsid w:val="46220201"/>
    <w:rsid w:val="4635620F"/>
    <w:rsid w:val="46454957"/>
    <w:rsid w:val="465374F0"/>
    <w:rsid w:val="467B4E31"/>
    <w:rsid w:val="46913751"/>
    <w:rsid w:val="46B04006"/>
    <w:rsid w:val="46D26911"/>
    <w:rsid w:val="46DB3BE7"/>
    <w:rsid w:val="46F838A8"/>
    <w:rsid w:val="470C596F"/>
    <w:rsid w:val="47626028"/>
    <w:rsid w:val="477EF908"/>
    <w:rsid w:val="479A5959"/>
    <w:rsid w:val="47D772EC"/>
    <w:rsid w:val="47F43914"/>
    <w:rsid w:val="47FB487A"/>
    <w:rsid w:val="483A0F8A"/>
    <w:rsid w:val="487216E8"/>
    <w:rsid w:val="487650FA"/>
    <w:rsid w:val="488B2374"/>
    <w:rsid w:val="49225514"/>
    <w:rsid w:val="49350C9F"/>
    <w:rsid w:val="49625ABB"/>
    <w:rsid w:val="49642D31"/>
    <w:rsid w:val="49877DA8"/>
    <w:rsid w:val="49B151DD"/>
    <w:rsid w:val="49C756B8"/>
    <w:rsid w:val="49EB5163"/>
    <w:rsid w:val="49FE148C"/>
    <w:rsid w:val="4A283338"/>
    <w:rsid w:val="4A29579D"/>
    <w:rsid w:val="4A657369"/>
    <w:rsid w:val="4AB65551"/>
    <w:rsid w:val="4B0669B3"/>
    <w:rsid w:val="4B524E11"/>
    <w:rsid w:val="4B8F65F1"/>
    <w:rsid w:val="4BAB5A0D"/>
    <w:rsid w:val="4BAC3727"/>
    <w:rsid w:val="4BE56F53"/>
    <w:rsid w:val="4C06102F"/>
    <w:rsid w:val="4C326C11"/>
    <w:rsid w:val="4C3B2A44"/>
    <w:rsid w:val="4C8674C1"/>
    <w:rsid w:val="4CDA6D7F"/>
    <w:rsid w:val="4CFA1683"/>
    <w:rsid w:val="4D4E272B"/>
    <w:rsid w:val="4D682A44"/>
    <w:rsid w:val="4D6C714F"/>
    <w:rsid w:val="4D750A7A"/>
    <w:rsid w:val="4DC22959"/>
    <w:rsid w:val="4DCF1001"/>
    <w:rsid w:val="4E9A56B9"/>
    <w:rsid w:val="4ECC0341"/>
    <w:rsid w:val="4F427818"/>
    <w:rsid w:val="4F8C75E7"/>
    <w:rsid w:val="4FC82E13"/>
    <w:rsid w:val="4FFD46C8"/>
    <w:rsid w:val="50253B41"/>
    <w:rsid w:val="50A92B61"/>
    <w:rsid w:val="50B50BF9"/>
    <w:rsid w:val="50B92BBB"/>
    <w:rsid w:val="50D00EEA"/>
    <w:rsid w:val="50F7714A"/>
    <w:rsid w:val="50FC79C5"/>
    <w:rsid w:val="51373BE7"/>
    <w:rsid w:val="514E41CC"/>
    <w:rsid w:val="517C08CB"/>
    <w:rsid w:val="517D1BC4"/>
    <w:rsid w:val="51974469"/>
    <w:rsid w:val="51C97A04"/>
    <w:rsid w:val="51D44347"/>
    <w:rsid w:val="51E17650"/>
    <w:rsid w:val="51E25299"/>
    <w:rsid w:val="51E30482"/>
    <w:rsid w:val="51E61717"/>
    <w:rsid w:val="521C7F46"/>
    <w:rsid w:val="52746DE2"/>
    <w:rsid w:val="52DC4B00"/>
    <w:rsid w:val="52E94D99"/>
    <w:rsid w:val="5311442D"/>
    <w:rsid w:val="532F5BC8"/>
    <w:rsid w:val="53516CBE"/>
    <w:rsid w:val="536B70CD"/>
    <w:rsid w:val="537A0B0F"/>
    <w:rsid w:val="538F7CA0"/>
    <w:rsid w:val="53A61D95"/>
    <w:rsid w:val="53DA2E71"/>
    <w:rsid w:val="53F83C3B"/>
    <w:rsid w:val="53F936E1"/>
    <w:rsid w:val="541D6638"/>
    <w:rsid w:val="543B5250"/>
    <w:rsid w:val="545F71FB"/>
    <w:rsid w:val="54673F55"/>
    <w:rsid w:val="547748A2"/>
    <w:rsid w:val="54795344"/>
    <w:rsid w:val="550932A7"/>
    <w:rsid w:val="550B7314"/>
    <w:rsid w:val="55496DF8"/>
    <w:rsid w:val="558511DC"/>
    <w:rsid w:val="55BB73F7"/>
    <w:rsid w:val="55C67A82"/>
    <w:rsid w:val="55D45164"/>
    <w:rsid w:val="560E13E4"/>
    <w:rsid w:val="56153EFF"/>
    <w:rsid w:val="561A3A7E"/>
    <w:rsid w:val="5621105A"/>
    <w:rsid w:val="562B5EAA"/>
    <w:rsid w:val="563874DF"/>
    <w:rsid w:val="56771D77"/>
    <w:rsid w:val="56BF2156"/>
    <w:rsid w:val="56F33A85"/>
    <w:rsid w:val="572957BF"/>
    <w:rsid w:val="572A2264"/>
    <w:rsid w:val="575F2F6E"/>
    <w:rsid w:val="579955D2"/>
    <w:rsid w:val="57BD6FD6"/>
    <w:rsid w:val="57F356AF"/>
    <w:rsid w:val="57F91F69"/>
    <w:rsid w:val="58214023"/>
    <w:rsid w:val="58323A62"/>
    <w:rsid w:val="5835250E"/>
    <w:rsid w:val="58507CBD"/>
    <w:rsid w:val="58767330"/>
    <w:rsid w:val="587D6669"/>
    <w:rsid w:val="58984F7C"/>
    <w:rsid w:val="58D233AE"/>
    <w:rsid w:val="58E10BDE"/>
    <w:rsid w:val="58E448D9"/>
    <w:rsid w:val="58EB2AAF"/>
    <w:rsid w:val="5925609D"/>
    <w:rsid w:val="595C04CD"/>
    <w:rsid w:val="59AA73D8"/>
    <w:rsid w:val="59C0685E"/>
    <w:rsid w:val="59D025EE"/>
    <w:rsid w:val="59FE2690"/>
    <w:rsid w:val="5A1C179F"/>
    <w:rsid w:val="5A317606"/>
    <w:rsid w:val="5A317EC0"/>
    <w:rsid w:val="5A4C4A8C"/>
    <w:rsid w:val="5A5615BC"/>
    <w:rsid w:val="5AA30DE7"/>
    <w:rsid w:val="5AAB4D02"/>
    <w:rsid w:val="5AE36477"/>
    <w:rsid w:val="5B0F62F0"/>
    <w:rsid w:val="5B380599"/>
    <w:rsid w:val="5B4B17C0"/>
    <w:rsid w:val="5B546464"/>
    <w:rsid w:val="5B647B21"/>
    <w:rsid w:val="5B8B6E42"/>
    <w:rsid w:val="5B965A5B"/>
    <w:rsid w:val="5BA76243"/>
    <w:rsid w:val="5BAD244B"/>
    <w:rsid w:val="5BE0459B"/>
    <w:rsid w:val="5C121D1A"/>
    <w:rsid w:val="5C2C2139"/>
    <w:rsid w:val="5C3774BC"/>
    <w:rsid w:val="5C747465"/>
    <w:rsid w:val="5C7D6D34"/>
    <w:rsid w:val="5C7F48CC"/>
    <w:rsid w:val="5D5366E7"/>
    <w:rsid w:val="5D7F102D"/>
    <w:rsid w:val="5DA3332C"/>
    <w:rsid w:val="5DBA5090"/>
    <w:rsid w:val="5DBD4A2A"/>
    <w:rsid w:val="5DD1318C"/>
    <w:rsid w:val="5DF20031"/>
    <w:rsid w:val="5E0E6267"/>
    <w:rsid w:val="5E271520"/>
    <w:rsid w:val="5E6164F1"/>
    <w:rsid w:val="5E66256E"/>
    <w:rsid w:val="5ED3731F"/>
    <w:rsid w:val="5EDF5A84"/>
    <w:rsid w:val="5F16266E"/>
    <w:rsid w:val="5F3B723E"/>
    <w:rsid w:val="5F644C8F"/>
    <w:rsid w:val="5F927AF6"/>
    <w:rsid w:val="5FDF3D88"/>
    <w:rsid w:val="5FEE3298"/>
    <w:rsid w:val="6010209D"/>
    <w:rsid w:val="60531DE4"/>
    <w:rsid w:val="605A43F3"/>
    <w:rsid w:val="606E61E9"/>
    <w:rsid w:val="609C4948"/>
    <w:rsid w:val="60AD501A"/>
    <w:rsid w:val="60CA19D8"/>
    <w:rsid w:val="60E43117"/>
    <w:rsid w:val="60F76BF4"/>
    <w:rsid w:val="612B657A"/>
    <w:rsid w:val="612F3A06"/>
    <w:rsid w:val="613B00E9"/>
    <w:rsid w:val="615062BB"/>
    <w:rsid w:val="61796113"/>
    <w:rsid w:val="61865E2A"/>
    <w:rsid w:val="61A46918"/>
    <w:rsid w:val="61A91D7E"/>
    <w:rsid w:val="61C144EF"/>
    <w:rsid w:val="61FE1A61"/>
    <w:rsid w:val="62015D11"/>
    <w:rsid w:val="620A33F2"/>
    <w:rsid w:val="62467FCB"/>
    <w:rsid w:val="62503763"/>
    <w:rsid w:val="62512FEA"/>
    <w:rsid w:val="627818F5"/>
    <w:rsid w:val="62C366A0"/>
    <w:rsid w:val="62DF142F"/>
    <w:rsid w:val="62E62D35"/>
    <w:rsid w:val="62E821E8"/>
    <w:rsid w:val="62EB74C5"/>
    <w:rsid w:val="62F51D1A"/>
    <w:rsid w:val="62F87B54"/>
    <w:rsid w:val="630770C9"/>
    <w:rsid w:val="6317701F"/>
    <w:rsid w:val="635F764E"/>
    <w:rsid w:val="63726D11"/>
    <w:rsid w:val="638045B7"/>
    <w:rsid w:val="638365BD"/>
    <w:rsid w:val="638F4127"/>
    <w:rsid w:val="63A26C03"/>
    <w:rsid w:val="64052AC5"/>
    <w:rsid w:val="6418419F"/>
    <w:rsid w:val="642512D3"/>
    <w:rsid w:val="64481EC9"/>
    <w:rsid w:val="644A41CF"/>
    <w:rsid w:val="646B0E06"/>
    <w:rsid w:val="64844412"/>
    <w:rsid w:val="64965549"/>
    <w:rsid w:val="64B3137F"/>
    <w:rsid w:val="64C13E6F"/>
    <w:rsid w:val="64C227AC"/>
    <w:rsid w:val="64C556CB"/>
    <w:rsid w:val="64FA277A"/>
    <w:rsid w:val="64FD771F"/>
    <w:rsid w:val="65031DA0"/>
    <w:rsid w:val="652C450B"/>
    <w:rsid w:val="653603C7"/>
    <w:rsid w:val="655C2B7E"/>
    <w:rsid w:val="65D14B88"/>
    <w:rsid w:val="65DB4294"/>
    <w:rsid w:val="65DD0AAC"/>
    <w:rsid w:val="663354EC"/>
    <w:rsid w:val="66383744"/>
    <w:rsid w:val="663B68C7"/>
    <w:rsid w:val="66685069"/>
    <w:rsid w:val="668A5C23"/>
    <w:rsid w:val="66C60A29"/>
    <w:rsid w:val="672843FB"/>
    <w:rsid w:val="67421678"/>
    <w:rsid w:val="674D7A09"/>
    <w:rsid w:val="675A2B11"/>
    <w:rsid w:val="675B26AA"/>
    <w:rsid w:val="67783772"/>
    <w:rsid w:val="6782443F"/>
    <w:rsid w:val="67CD660C"/>
    <w:rsid w:val="683451EA"/>
    <w:rsid w:val="683F3225"/>
    <w:rsid w:val="68407A32"/>
    <w:rsid w:val="684F2AAF"/>
    <w:rsid w:val="685A4E4B"/>
    <w:rsid w:val="687267DF"/>
    <w:rsid w:val="68765A53"/>
    <w:rsid w:val="68B172D0"/>
    <w:rsid w:val="68F44117"/>
    <w:rsid w:val="68F914A1"/>
    <w:rsid w:val="69162CF0"/>
    <w:rsid w:val="69392234"/>
    <w:rsid w:val="69450BD9"/>
    <w:rsid w:val="69B13A71"/>
    <w:rsid w:val="69D11C2C"/>
    <w:rsid w:val="69F14AFA"/>
    <w:rsid w:val="6A582B8E"/>
    <w:rsid w:val="6A885B1E"/>
    <w:rsid w:val="6A9E61CF"/>
    <w:rsid w:val="6AA420C1"/>
    <w:rsid w:val="6ACA351F"/>
    <w:rsid w:val="6AD0091A"/>
    <w:rsid w:val="6AE564E9"/>
    <w:rsid w:val="6AF946A8"/>
    <w:rsid w:val="6B0542A1"/>
    <w:rsid w:val="6B594E10"/>
    <w:rsid w:val="6B8361CB"/>
    <w:rsid w:val="6B8F4205"/>
    <w:rsid w:val="6BEE3567"/>
    <w:rsid w:val="6BF6265F"/>
    <w:rsid w:val="6C0F4A94"/>
    <w:rsid w:val="6C2C7587"/>
    <w:rsid w:val="6C352415"/>
    <w:rsid w:val="6C4F6DA0"/>
    <w:rsid w:val="6C83012E"/>
    <w:rsid w:val="6C884442"/>
    <w:rsid w:val="6CE334BE"/>
    <w:rsid w:val="6D033D14"/>
    <w:rsid w:val="6D3D7B06"/>
    <w:rsid w:val="6D4B1BC9"/>
    <w:rsid w:val="6D783D5B"/>
    <w:rsid w:val="6DD8607E"/>
    <w:rsid w:val="6E1567FC"/>
    <w:rsid w:val="6E49545B"/>
    <w:rsid w:val="6E51210E"/>
    <w:rsid w:val="6E6D5537"/>
    <w:rsid w:val="6E7D4F6A"/>
    <w:rsid w:val="6E98052C"/>
    <w:rsid w:val="6E9918ED"/>
    <w:rsid w:val="6E995FB4"/>
    <w:rsid w:val="6EA34249"/>
    <w:rsid w:val="6EEF6B0D"/>
    <w:rsid w:val="6EFF3F2A"/>
    <w:rsid w:val="6F14205D"/>
    <w:rsid w:val="6F1C43D6"/>
    <w:rsid w:val="6F283A6C"/>
    <w:rsid w:val="6F32399A"/>
    <w:rsid w:val="6F4877BE"/>
    <w:rsid w:val="6F74201A"/>
    <w:rsid w:val="6F911E17"/>
    <w:rsid w:val="6F9B5FA9"/>
    <w:rsid w:val="6FC85B74"/>
    <w:rsid w:val="6FD43A0B"/>
    <w:rsid w:val="6FEB702D"/>
    <w:rsid w:val="701658F3"/>
    <w:rsid w:val="703D3987"/>
    <w:rsid w:val="70982910"/>
    <w:rsid w:val="70F62C99"/>
    <w:rsid w:val="71376302"/>
    <w:rsid w:val="71866DCF"/>
    <w:rsid w:val="71EE0C60"/>
    <w:rsid w:val="72070141"/>
    <w:rsid w:val="720802A1"/>
    <w:rsid w:val="721E08F0"/>
    <w:rsid w:val="722476F6"/>
    <w:rsid w:val="72333754"/>
    <w:rsid w:val="72435D8E"/>
    <w:rsid w:val="725156CF"/>
    <w:rsid w:val="72666E9C"/>
    <w:rsid w:val="728F584F"/>
    <w:rsid w:val="7294672D"/>
    <w:rsid w:val="72997B90"/>
    <w:rsid w:val="729D33CE"/>
    <w:rsid w:val="72A60DB2"/>
    <w:rsid w:val="72AF75ED"/>
    <w:rsid w:val="72EF0675"/>
    <w:rsid w:val="72F04F08"/>
    <w:rsid w:val="732E2C22"/>
    <w:rsid w:val="737737D7"/>
    <w:rsid w:val="740E4275"/>
    <w:rsid w:val="742762AB"/>
    <w:rsid w:val="74412A76"/>
    <w:rsid w:val="74445412"/>
    <w:rsid w:val="744530CF"/>
    <w:rsid w:val="7457538A"/>
    <w:rsid w:val="749B4BFA"/>
    <w:rsid w:val="74A33BFE"/>
    <w:rsid w:val="74AE7632"/>
    <w:rsid w:val="74C40D3A"/>
    <w:rsid w:val="75055B89"/>
    <w:rsid w:val="751C1482"/>
    <w:rsid w:val="751C3921"/>
    <w:rsid w:val="75322481"/>
    <w:rsid w:val="753E0A82"/>
    <w:rsid w:val="755E6222"/>
    <w:rsid w:val="75675445"/>
    <w:rsid w:val="75D23B6E"/>
    <w:rsid w:val="763535C1"/>
    <w:rsid w:val="763C3364"/>
    <w:rsid w:val="76440C1A"/>
    <w:rsid w:val="766C3C31"/>
    <w:rsid w:val="766E110E"/>
    <w:rsid w:val="768A40CF"/>
    <w:rsid w:val="76942E60"/>
    <w:rsid w:val="77181058"/>
    <w:rsid w:val="773777BE"/>
    <w:rsid w:val="77552ADF"/>
    <w:rsid w:val="776E602F"/>
    <w:rsid w:val="77710CF0"/>
    <w:rsid w:val="777233CA"/>
    <w:rsid w:val="77965E73"/>
    <w:rsid w:val="77CE52FC"/>
    <w:rsid w:val="77DC0F50"/>
    <w:rsid w:val="77F20937"/>
    <w:rsid w:val="77FD7057"/>
    <w:rsid w:val="78534934"/>
    <w:rsid w:val="78586D7C"/>
    <w:rsid w:val="788A0834"/>
    <w:rsid w:val="789833E9"/>
    <w:rsid w:val="78B95B1C"/>
    <w:rsid w:val="78CE0040"/>
    <w:rsid w:val="78E61B2D"/>
    <w:rsid w:val="78F261E6"/>
    <w:rsid w:val="78FF080F"/>
    <w:rsid w:val="790F1D64"/>
    <w:rsid w:val="799C7B5B"/>
    <w:rsid w:val="79A4542D"/>
    <w:rsid w:val="79AA6D6E"/>
    <w:rsid w:val="7A09486A"/>
    <w:rsid w:val="7A6C0DAE"/>
    <w:rsid w:val="7ACF0454"/>
    <w:rsid w:val="7B0C7D56"/>
    <w:rsid w:val="7B317A15"/>
    <w:rsid w:val="7B3C363D"/>
    <w:rsid w:val="7B6E5BC1"/>
    <w:rsid w:val="7B7A3197"/>
    <w:rsid w:val="7B830A96"/>
    <w:rsid w:val="7B870239"/>
    <w:rsid w:val="7B9B6ED9"/>
    <w:rsid w:val="7BA22FE1"/>
    <w:rsid w:val="7BEA7C68"/>
    <w:rsid w:val="7C070787"/>
    <w:rsid w:val="7C161217"/>
    <w:rsid w:val="7C1C0647"/>
    <w:rsid w:val="7C2A5CFF"/>
    <w:rsid w:val="7C42096C"/>
    <w:rsid w:val="7C581BDC"/>
    <w:rsid w:val="7CA3100C"/>
    <w:rsid w:val="7CE6075B"/>
    <w:rsid w:val="7CF53C93"/>
    <w:rsid w:val="7CFB1A18"/>
    <w:rsid w:val="7D1172F8"/>
    <w:rsid w:val="7D67271F"/>
    <w:rsid w:val="7D6B181F"/>
    <w:rsid w:val="7D7960FD"/>
    <w:rsid w:val="7DB37519"/>
    <w:rsid w:val="7DB84AD1"/>
    <w:rsid w:val="7E0A24D6"/>
    <w:rsid w:val="7E0D3172"/>
    <w:rsid w:val="7E175822"/>
    <w:rsid w:val="7E212F7C"/>
    <w:rsid w:val="7E276FBD"/>
    <w:rsid w:val="7E350F2A"/>
    <w:rsid w:val="7E617E0B"/>
    <w:rsid w:val="7E77A389"/>
    <w:rsid w:val="7E7D6F5F"/>
    <w:rsid w:val="7EC32E3C"/>
    <w:rsid w:val="7ED76627"/>
    <w:rsid w:val="7EDE52EF"/>
    <w:rsid w:val="7F0C2FFD"/>
    <w:rsid w:val="7F4F20F6"/>
    <w:rsid w:val="7F897AD4"/>
    <w:rsid w:val="7F8D1F6D"/>
    <w:rsid w:val="7F9000DE"/>
    <w:rsid w:val="7F9B73F2"/>
    <w:rsid w:val="7FA57FC4"/>
    <w:rsid w:val="7FC3728A"/>
    <w:rsid w:val="7FCC7BB8"/>
    <w:rsid w:val="7FD73C1B"/>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4">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8"/>
    <w:qFormat/>
    <w:uiPriority w:val="0"/>
    <w:pPr>
      <w:spacing w:after="120"/>
    </w:pPr>
  </w:style>
  <w:style w:type="paragraph" w:styleId="3">
    <w:name w:val="Title"/>
    <w:basedOn w:val="1"/>
    <w:next w:val="1"/>
    <w:qFormat/>
    <w:uiPriority w:val="10"/>
    <w:pPr>
      <w:spacing w:before="240" w:after="60"/>
      <w:jc w:val="center"/>
      <w:outlineLvl w:val="0"/>
    </w:pPr>
    <w:rPr>
      <w:rFonts w:ascii="@仿宋_GB2312" w:hAnsi="@仿宋_GB2312" w:eastAsia="@仿宋_GB2312"/>
      <w:b/>
      <w:bCs/>
    </w:rPr>
  </w:style>
  <w:style w:type="paragraph" w:styleId="5">
    <w:name w:val="index 8"/>
    <w:basedOn w:val="1"/>
    <w:next w:val="1"/>
    <w:qFormat/>
    <w:uiPriority w:val="0"/>
    <w:pPr>
      <w:ind w:left="2940"/>
    </w:pPr>
    <w:rPr>
      <w:rFonts w:ascii="Times New Roman" w:hAnsi="Times New Roman"/>
    </w:rPr>
  </w:style>
  <w:style w:type="paragraph" w:styleId="6">
    <w:name w:val="toa heading"/>
    <w:basedOn w:val="1"/>
    <w:next w:val="1"/>
    <w:qFormat/>
    <w:uiPriority w:val="0"/>
    <w:pPr>
      <w:spacing w:before="120"/>
    </w:pPr>
    <w:rPr>
      <w:rFonts w:ascii="Arial" w:hAnsi="Arial"/>
      <w:sz w:val="24"/>
    </w:rPr>
  </w:style>
  <w:style w:type="paragraph" w:styleId="7">
    <w:name w:val="annotation text"/>
    <w:basedOn w:val="1"/>
    <w:qFormat/>
    <w:uiPriority w:val="0"/>
    <w:pPr>
      <w:jc w:val="left"/>
    </w:pPr>
  </w:style>
  <w:style w:type="paragraph" w:styleId="8">
    <w:name w:val="Plain Text"/>
    <w:basedOn w:val="1"/>
    <w:next w:val="5"/>
    <w:qFormat/>
    <w:uiPriority w:val="0"/>
    <w:rPr>
      <w:rFonts w:ascii="宋体" w:hAnsi="Courier New" w:cs="Courier New"/>
      <w:szCs w:val="21"/>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u w:val="single"/>
    </w:rPr>
  </w:style>
  <w:style w:type="paragraph" w:customStyle="1" w:styleId="16">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2"/>
    <w:qFormat/>
    <w:uiPriority w:val="0"/>
    <w:rPr>
      <w:rFonts w:ascii="Calibri" w:hAnsi="Calibri"/>
      <w:kern w:val="2"/>
      <w:sz w:val="32"/>
      <w:szCs w:val="22"/>
    </w:rPr>
  </w:style>
  <w:style w:type="character" w:customStyle="1" w:styleId="19">
    <w:name w:val="页眉 字符"/>
    <w:link w:val="10"/>
    <w:qFormat/>
    <w:uiPriority w:val="0"/>
    <w:rPr>
      <w:rFonts w:ascii="Calibri" w:hAnsi="Calibri"/>
      <w:kern w:val="2"/>
      <w:sz w:val="18"/>
      <w:szCs w:val="18"/>
    </w:rPr>
  </w:style>
  <w:style w:type="character" w:customStyle="1" w:styleId="20">
    <w:name w:val="页脚 字符"/>
    <w:link w:val="9"/>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61"/>
    <w:basedOn w:val="14"/>
    <w:qFormat/>
    <w:uiPriority w:val="0"/>
    <w:rPr>
      <w:rFonts w:hint="eastAsia" w:ascii="宋体" w:hAnsi="宋体" w:eastAsia="宋体" w:cs="宋体"/>
      <w:b/>
      <w:bCs/>
      <w:color w:val="000000"/>
      <w:sz w:val="30"/>
      <w:szCs w:val="30"/>
      <w:u w:val="none"/>
    </w:rPr>
  </w:style>
  <w:style w:type="character" w:customStyle="1" w:styleId="29">
    <w:name w:val="font151"/>
    <w:basedOn w:val="14"/>
    <w:qFormat/>
    <w:uiPriority w:val="0"/>
    <w:rPr>
      <w:rFonts w:hint="eastAsia" w:ascii="宋体" w:hAnsi="宋体" w:eastAsia="宋体" w:cs="宋体"/>
      <w:color w:val="000000"/>
      <w:sz w:val="30"/>
      <w:szCs w:val="30"/>
      <w:u w:val="none"/>
    </w:rPr>
  </w:style>
  <w:style w:type="character" w:customStyle="1" w:styleId="30">
    <w:name w:val="font71"/>
    <w:basedOn w:val="14"/>
    <w:qFormat/>
    <w:uiPriority w:val="0"/>
    <w:rPr>
      <w:rFonts w:hint="eastAsia" w:ascii="宋体" w:hAnsi="宋体" w:eastAsia="宋体" w:cs="宋体"/>
      <w:b/>
      <w:bCs/>
      <w:color w:val="000000"/>
      <w:sz w:val="30"/>
      <w:szCs w:val="30"/>
      <w:u w:val="none"/>
    </w:rPr>
  </w:style>
  <w:style w:type="character" w:customStyle="1" w:styleId="31">
    <w:name w:val="font81"/>
    <w:basedOn w:val="14"/>
    <w:qFormat/>
    <w:uiPriority w:val="0"/>
    <w:rPr>
      <w:rFonts w:hint="eastAsia" w:ascii="宋体" w:hAnsi="宋体" w:eastAsia="宋体" w:cs="宋体"/>
      <w:color w:val="000000"/>
      <w:sz w:val="30"/>
      <w:szCs w:val="30"/>
      <w:u w:val="none"/>
    </w:rPr>
  </w:style>
  <w:style w:type="character" w:customStyle="1" w:styleId="32">
    <w:name w:val="font121"/>
    <w:basedOn w:val="14"/>
    <w:qFormat/>
    <w:uiPriority w:val="0"/>
    <w:rPr>
      <w:rFonts w:hint="eastAsia" w:ascii="宋体" w:hAnsi="宋体" w:eastAsia="宋体" w:cs="宋体"/>
      <w:b/>
      <w:bCs/>
      <w:color w:val="000000"/>
      <w:sz w:val="30"/>
      <w:szCs w:val="30"/>
      <w:u w:val="none"/>
    </w:rPr>
  </w:style>
  <w:style w:type="character" w:customStyle="1" w:styleId="33">
    <w:name w:val="font141"/>
    <w:basedOn w:val="14"/>
    <w:qFormat/>
    <w:uiPriority w:val="0"/>
    <w:rPr>
      <w:rFonts w:hint="eastAsia" w:ascii="宋体" w:hAnsi="宋体" w:eastAsia="宋体" w:cs="宋体"/>
      <w:color w:val="000000"/>
      <w:sz w:val="30"/>
      <w:szCs w:val="30"/>
      <w:u w:val="none"/>
    </w:rPr>
  </w:style>
  <w:style w:type="character" w:customStyle="1" w:styleId="34">
    <w:name w:val="font132"/>
    <w:basedOn w:val="14"/>
    <w:qFormat/>
    <w:uiPriority w:val="0"/>
    <w:rPr>
      <w:rFonts w:hint="eastAsia" w:ascii="宋体" w:hAnsi="宋体" w:eastAsia="宋体" w:cs="宋体"/>
      <w:b/>
      <w:bCs/>
      <w:color w:val="000000"/>
      <w:sz w:val="30"/>
      <w:szCs w:val="30"/>
      <w:u w:val="none"/>
    </w:rPr>
  </w:style>
  <w:style w:type="character" w:customStyle="1" w:styleId="35">
    <w:name w:val="font161"/>
    <w:basedOn w:val="14"/>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1</TotalTime>
  <ScaleCrop>false</ScaleCrop>
  <LinksUpToDate>false</LinksUpToDate>
  <CharactersWithSpaces>3814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2022-12-30T15:48:00Z</dcterms:created>
  <dc:creator>yangxy</dc:creator>
  <cp:lastModifiedBy>wangwei</cp:lastModifiedBy>
  <dcterms:modified xsi:type="dcterms:W3CDTF">2026-04-29T03:08:34Z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1284F40C60634FA98D478CF782FBDA89</vt:lpwstr>
  </property>
</Properties>
</file>