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000000" w:themeColor="text1"/>
          <w:sz w:val="32"/>
          <w:szCs w:val="44"/>
          <w14:textFill>
            <w14:solidFill>
              <w14:schemeClr w14:val="tx1"/>
            </w14:solidFill>
          </w14:textFill>
        </w:rPr>
      </w:pPr>
    </w:p>
    <w:p>
      <w:pPr>
        <w:spacing w:line="560" w:lineRule="exact"/>
        <w:jc w:val="left"/>
        <w:rPr>
          <w:rFonts w:hint="eastAsia" w:ascii="黑体" w:hAnsi="黑体" w:eastAsia="黑体" w:cs="仿宋_GB2312"/>
          <w:color w:val="000000" w:themeColor="text1"/>
          <w:sz w:val="32"/>
          <w:szCs w:val="32"/>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rPr>
      </w:pPr>
      <w:bookmarkStart w:id="0" w:name="_GoBack"/>
      <w:r>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rPr>
        <w:t>深圳市医疗保险基金管理中心关于定点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rPr>
      </w:pPr>
      <w:r>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rPr>
        <w:t>医药机构违约行为处理情况的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lang w:eastAsia="zh-CN"/>
        </w:rPr>
      </w:pPr>
      <w:r>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rPr>
        <w:t>通报</w:t>
      </w:r>
      <w:r>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lang w:eastAsia="zh-CN"/>
        </w:rPr>
        <w:t>（</w:t>
      </w:r>
      <w:r>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rPr>
        <w:t>202</w:t>
      </w:r>
      <w:r>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lang w:val="en-US" w:eastAsia="zh-CN"/>
        </w:rPr>
        <w:t>5</w:t>
      </w:r>
      <w:r>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rPr>
        <w:t>年</w:t>
      </w:r>
      <w:r>
        <w:rPr>
          <w:rFonts w:hint="eastAsia" w:ascii="方正小标宋简体" w:hAnsi="方正小标宋简体" w:eastAsia="方正小标宋简体" w:cs="方正小标宋简体"/>
          <w:i w:val="0"/>
          <w:iCs w:val="0"/>
          <w:caps w:val="0"/>
          <w:color w:val="333333"/>
          <w:spacing w:val="0"/>
          <w:sz w:val="44"/>
          <w:szCs w:val="44"/>
          <w:highlight w:val="none"/>
          <w:u w:val="none"/>
          <w:shd w:val="clear" w:fill="FFFFFF"/>
          <w:vertAlign w:val="baseline"/>
          <w:lang w:eastAsia="zh-CN"/>
        </w:rPr>
        <w:t>第一批）</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2" w:firstLineChars="200"/>
        <w:jc w:val="both"/>
        <w:textAlignment w:val="baseline"/>
        <w:rPr>
          <w:rFonts w:hint="eastAsia" w:ascii="宋体" w:hAnsi="宋体" w:eastAsia="宋体" w:cs="宋体"/>
          <w:i w:val="0"/>
          <w:iCs w:val="0"/>
          <w:caps w:val="0"/>
          <w:color w:val="333333"/>
          <w:spacing w:val="0"/>
          <w:sz w:val="24"/>
          <w:szCs w:val="24"/>
          <w:highlight w:val="none"/>
          <w:u w:val="none"/>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为</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贯彻落实国家、省、市关于医疗保障基金监管相关要求，进一步</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加强定点</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医药机构</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管理，</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规范医药服务行为，</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更好地保障参保人员的合法权益，维护</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医疗保障</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基金安全，</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现将2025年第一批违约定点医药机构（55家）的违约</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行为处理情况通报如下</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黑体" w:hAnsi="黑体" w:eastAsia="黑体" w:cs="黑体"/>
          <w:b w:val="0"/>
          <w:bCs w:val="0"/>
          <w:i w:val="0"/>
          <w:iCs w:val="0"/>
          <w:caps w:val="0"/>
          <w:color w:val="auto"/>
          <w:spacing w:val="0"/>
          <w:sz w:val="32"/>
          <w:szCs w:val="32"/>
          <w:highlight w:val="none"/>
          <w:u w:val="none"/>
          <w:shd w:val="clear" w:fill="FFFFFF"/>
          <w:vertAlign w:val="baseline"/>
        </w:rPr>
      </w:pPr>
      <w:r>
        <w:rPr>
          <w:rFonts w:hint="eastAsia" w:ascii="黑体" w:hAnsi="黑体" w:eastAsia="黑体" w:cs="黑体"/>
          <w:b w:val="0"/>
          <w:bCs w:val="0"/>
          <w:i w:val="0"/>
          <w:iCs w:val="0"/>
          <w:caps w:val="0"/>
          <w:color w:val="auto"/>
          <w:spacing w:val="0"/>
          <w:sz w:val="32"/>
          <w:szCs w:val="32"/>
          <w:highlight w:val="none"/>
          <w:u w:val="none"/>
          <w:shd w:val="clear" w:fill="FFFFFF"/>
          <w:vertAlign w:val="baseline"/>
          <w:lang w:eastAsia="zh-CN"/>
        </w:rPr>
        <w:t>一、</w:t>
      </w:r>
      <w:r>
        <w:rPr>
          <w:rFonts w:hint="eastAsia" w:ascii="黑体" w:hAnsi="黑体" w:eastAsia="黑体" w:cs="黑体"/>
          <w:b w:val="0"/>
          <w:bCs w:val="0"/>
          <w:i w:val="0"/>
          <w:iCs w:val="0"/>
          <w:caps w:val="0"/>
          <w:color w:val="auto"/>
          <w:spacing w:val="0"/>
          <w:sz w:val="32"/>
          <w:szCs w:val="32"/>
          <w:highlight w:val="none"/>
          <w:u w:val="none"/>
          <w:shd w:val="clear" w:fill="FFFFFF"/>
          <w:vertAlign w:val="baseline"/>
        </w:rPr>
        <w:t>违约情形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pP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经查实，部分定点医</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t>药</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机构存在</w:t>
      </w:r>
      <w:r>
        <w:rPr>
          <w:rFonts w:hint="eastAsia" w:ascii="仿宋_GB2312" w:hAnsi="仿宋_GB2312" w:eastAsia="仿宋_GB2312" w:cs="仿宋_GB2312"/>
          <w:i w:val="0"/>
          <w:iCs w:val="0"/>
          <w:color w:val="auto"/>
          <w:kern w:val="0"/>
          <w:sz w:val="32"/>
          <w:szCs w:val="32"/>
          <w:u w:val="none"/>
          <w:lang w:val="en-US" w:eastAsia="zh-CN" w:bidi="ar"/>
        </w:rPr>
        <w:t>将不具备医保结算资格的其他机构的医疗费用纳入医保结算、营业时间内无医保医师为参保人员提供医保服务发生医保记账、使用无执业资质人员开展医疗服务并将相关费用纳入医保基金支付、药品经营许可证被注销后仍发生医保记账费用、以明显高于进货价格采取捆绑形式销售记账药品、参保人员诊疗过程真实，但录入的收费内容与医疗记录、实际诊疗行为不相符、停业后超过10个工作日未申请中止协议、未按照协议配备医保药师的，经查实未办理中止协议、改变医保结算设备使用场地，未在《中医诊所备案证》的执业地址进行医保记账的、因定点零售药店连锁经营企业总部法定代表人、主要负责人或者实际控制人违法违规导致下属定点零售药店其中一家解除协议的，相同法定代表人、主要负责人或者实际控制人的其他定点零售药店同时解除协议</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黑体" w:hAnsi="黑体" w:eastAsia="黑体" w:cs="黑体"/>
          <w:b w:val="0"/>
          <w:bCs w:val="0"/>
          <w:i w:val="0"/>
          <w:iCs w:val="0"/>
          <w:caps w:val="0"/>
          <w:color w:val="auto"/>
          <w:spacing w:val="0"/>
          <w:sz w:val="32"/>
          <w:szCs w:val="32"/>
          <w:highlight w:val="none"/>
          <w:u w:val="none"/>
          <w:shd w:val="clear" w:fill="FFFFFF"/>
          <w:vertAlign w:val="baseline"/>
        </w:rPr>
      </w:pPr>
      <w:r>
        <w:rPr>
          <w:rFonts w:hint="eastAsia" w:ascii="黑体" w:hAnsi="黑体" w:eastAsia="黑体" w:cs="黑体"/>
          <w:b w:val="0"/>
          <w:bCs w:val="0"/>
          <w:i w:val="0"/>
          <w:iCs w:val="0"/>
          <w:caps w:val="0"/>
          <w:color w:val="auto"/>
          <w:spacing w:val="0"/>
          <w:sz w:val="32"/>
          <w:szCs w:val="32"/>
          <w:highlight w:val="none"/>
          <w:u w:val="none"/>
          <w:shd w:val="clear" w:fill="FFFFFF"/>
          <w:vertAlign w:val="baseline"/>
          <w:lang w:eastAsia="zh-CN"/>
        </w:rPr>
        <w:t>二、</w:t>
      </w:r>
      <w:r>
        <w:rPr>
          <w:rFonts w:hint="eastAsia" w:ascii="黑体" w:hAnsi="黑体" w:eastAsia="黑体" w:cs="黑体"/>
          <w:b w:val="0"/>
          <w:bCs w:val="0"/>
          <w:i w:val="0"/>
          <w:iCs w:val="0"/>
          <w:caps w:val="0"/>
          <w:color w:val="auto"/>
          <w:spacing w:val="0"/>
          <w:sz w:val="32"/>
          <w:szCs w:val="32"/>
          <w:highlight w:val="none"/>
          <w:u w:val="none"/>
          <w:shd w:val="clear" w:fill="FFFFFF"/>
          <w:vertAlign w:val="baseline"/>
        </w:rPr>
        <w:t>处理情况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pP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约谈</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22</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家，解除协议</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33</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附件：违约定点</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医药</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机构名单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i w:val="0"/>
          <w:iCs w:val="0"/>
          <w:caps w:val="0"/>
          <w:color w:val="auto"/>
          <w:spacing w:val="0"/>
          <w:sz w:val="32"/>
          <w:szCs w:val="32"/>
          <w:highlight w:val="none"/>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i w:val="0"/>
          <w:iCs w:val="0"/>
          <w:caps w:val="0"/>
          <w:color w:val="auto"/>
          <w:spacing w:val="0"/>
          <w:sz w:val="32"/>
          <w:szCs w:val="32"/>
          <w:highlight w:val="none"/>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center"/>
        <w:textAlignment w:val="baseline"/>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 xml:space="preserve">            </w:t>
      </w:r>
      <w:r>
        <w:rPr>
          <w:rFonts w:hint="default"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深圳市医疗保险基金管理中心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98" w:firstLineChars="1550"/>
        <w:jc w:val="both"/>
        <w:textAlignment w:val="baseline"/>
        <w:rPr>
          <w:rStyle w:val="8"/>
          <w:rFonts w:hint="eastAsia" w:ascii="仿宋_GB2312" w:hAnsi="仿宋_GB2312" w:eastAsia="仿宋_GB2312" w:cs="仿宋_GB2312"/>
          <w:b/>
          <w:bCs/>
          <w:i w:val="0"/>
          <w:iCs w:val="0"/>
          <w:caps w:val="0"/>
          <w:color w:val="auto"/>
          <w:spacing w:val="0"/>
          <w:sz w:val="32"/>
          <w:szCs w:val="32"/>
          <w:highlight w:val="none"/>
          <w:u w:val="none"/>
          <w:shd w:val="clear" w:fill="FFFFFF"/>
          <w:vertAlign w:val="baseline"/>
        </w:rPr>
      </w:pP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202</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年</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月</w:t>
      </w:r>
      <w:r>
        <w:rPr>
          <w:rFonts w:hint="default" w:ascii="仿宋_GB2312" w:hAnsi="仿宋_GB2312" w:eastAsia="仿宋_GB2312" w:cs="仿宋_GB2312"/>
          <w:i w:val="0"/>
          <w:iCs w:val="0"/>
          <w:caps w:val="0"/>
          <w:color w:val="auto"/>
          <w:spacing w:val="0"/>
          <w:sz w:val="32"/>
          <w:szCs w:val="32"/>
          <w:highlight w:val="none"/>
          <w:u w:val="none"/>
          <w:shd w:val="clear" w:fill="FFFFFF"/>
          <w:vertAlign w:val="baseline"/>
          <w:lang w:val="en-US" w:eastAsia="zh-CN"/>
        </w:rPr>
        <w:t>2</w:t>
      </w:r>
      <w:r>
        <w:rPr>
          <w:rFonts w:hint="default" w:ascii="仿宋_GB2312" w:hAnsi="仿宋_GB2312" w:eastAsia="仿宋_GB2312" w:cs="仿宋_GB2312"/>
          <w:i w:val="0"/>
          <w:iCs w:val="0"/>
          <w:caps w:val="0"/>
          <w:color w:val="auto"/>
          <w:spacing w:val="0"/>
          <w:sz w:val="32"/>
          <w:szCs w:val="32"/>
          <w:highlight w:val="none"/>
          <w:u w:val="none"/>
          <w:shd w:val="clear" w:fill="FFFFFF"/>
          <w:vertAlign w:val="baseline"/>
          <w:lang w:val="en" w:eastAsia="zh-CN"/>
        </w:rPr>
        <w:t>2</w:t>
      </w:r>
      <w:r>
        <w:rPr>
          <w:rFonts w:hint="eastAsia" w:ascii="仿宋_GB2312" w:hAnsi="仿宋_GB2312" w:eastAsia="仿宋_GB2312" w:cs="仿宋_GB2312"/>
          <w:i w:val="0"/>
          <w:iCs w:val="0"/>
          <w:caps w:val="0"/>
          <w:color w:val="auto"/>
          <w:spacing w:val="0"/>
          <w:sz w:val="32"/>
          <w:szCs w:val="32"/>
          <w:highlight w:val="none"/>
          <w:u w:val="none"/>
          <w:shd w:val="clear" w:fill="FFFFFF"/>
          <w:vertAlign w:val="baseline"/>
        </w:rPr>
        <w:t>日</w:t>
      </w:r>
    </w:p>
    <w:p>
      <w:pPr>
        <w:rPr>
          <w:rStyle w:val="8"/>
          <w:rFonts w:hint="eastAsia" w:ascii="黑体" w:hAnsi="黑体" w:eastAsia="黑体" w:cs="黑体"/>
          <w:b w:val="0"/>
          <w:bCs w:val="0"/>
          <w:i w:val="0"/>
          <w:iCs w:val="0"/>
          <w:caps w:val="0"/>
          <w:color w:val="auto"/>
          <w:spacing w:val="0"/>
          <w:sz w:val="32"/>
          <w:szCs w:val="32"/>
          <w:highlight w:val="none"/>
          <w:u w:val="none"/>
          <w:shd w:val="clear" w:fill="FFFFFF"/>
          <w:vertAlign w:val="baseline"/>
        </w:rPr>
      </w:pPr>
      <w:r>
        <w:rPr>
          <w:rStyle w:val="8"/>
          <w:rFonts w:hint="eastAsia" w:ascii="黑体" w:hAnsi="黑体" w:eastAsia="黑体" w:cs="黑体"/>
          <w:b w:val="0"/>
          <w:bCs w:val="0"/>
          <w:i w:val="0"/>
          <w:iCs w:val="0"/>
          <w:caps w:val="0"/>
          <w:color w:val="auto"/>
          <w:spacing w:val="0"/>
          <w:sz w:val="32"/>
          <w:szCs w:val="32"/>
          <w:highlight w:val="none"/>
          <w:u w:val="none"/>
          <w:shd w:val="clear" w:fill="FFFFFF"/>
          <w:vertAlign w:val="baseline"/>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8"/>
          <w:rFonts w:hint="eastAsia" w:ascii="黑体" w:hAnsi="黑体" w:eastAsia="黑体" w:cs="黑体"/>
          <w:b w:val="0"/>
          <w:bCs w:val="0"/>
          <w:i w:val="0"/>
          <w:iCs w:val="0"/>
          <w:caps w:val="0"/>
          <w:color w:val="auto"/>
          <w:spacing w:val="0"/>
          <w:sz w:val="32"/>
          <w:szCs w:val="32"/>
          <w:highlight w:val="none"/>
          <w:u w:val="none"/>
          <w:shd w:val="clear" w:fill="FFFFFF"/>
          <w:vertAlign w:val="baseline"/>
        </w:rPr>
      </w:pPr>
      <w:r>
        <w:rPr>
          <w:rStyle w:val="8"/>
          <w:rFonts w:hint="eastAsia" w:ascii="黑体" w:hAnsi="黑体" w:eastAsia="黑体" w:cs="黑体"/>
          <w:b w:val="0"/>
          <w:bCs w:val="0"/>
          <w:i w:val="0"/>
          <w:iCs w:val="0"/>
          <w:caps w:val="0"/>
          <w:color w:val="auto"/>
          <w:spacing w:val="0"/>
          <w:sz w:val="32"/>
          <w:szCs w:val="32"/>
          <w:highlight w:val="none"/>
          <w:u w:val="none"/>
          <w:shd w:val="clear" w:fill="FFFFFF"/>
          <w:vertAlign w:val="baseline"/>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8"/>
          <w:rFonts w:hint="eastAsia" w:ascii="黑体" w:hAnsi="黑体" w:eastAsia="黑体" w:cs="黑体"/>
          <w:b w:val="0"/>
          <w:bCs w:val="0"/>
          <w:i w:val="0"/>
          <w:iCs w:val="0"/>
          <w:caps w:val="0"/>
          <w:color w:val="auto"/>
          <w:spacing w:val="0"/>
          <w:sz w:val="32"/>
          <w:szCs w:val="32"/>
          <w:highlight w:val="none"/>
          <w:u w:val="none"/>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rPr>
      </w:pPr>
      <w:r>
        <w:rPr>
          <w:rStyle w:val="8"/>
          <w:rFonts w:hint="eastAsia" w:ascii="方正小标宋简体" w:hAnsi="方正小标宋简体" w:eastAsia="方正小标宋简体" w:cs="方正小标宋简体"/>
          <w:b w:val="0"/>
          <w:bCs w:val="0"/>
          <w:i w:val="0"/>
          <w:iCs w:val="0"/>
          <w:caps w:val="0"/>
          <w:color w:val="auto"/>
          <w:spacing w:val="0"/>
          <w:sz w:val="44"/>
          <w:szCs w:val="44"/>
          <w:highlight w:val="none"/>
          <w:u w:val="none"/>
          <w:shd w:val="clear" w:fill="FFFFFF"/>
          <w:vertAlign w:val="baseline"/>
        </w:rPr>
        <w:t>违约定点</w:t>
      </w:r>
      <w:r>
        <w:rPr>
          <w:rStyle w:val="8"/>
          <w:rFonts w:hint="eastAsia" w:ascii="方正小标宋简体" w:hAnsi="方正小标宋简体" w:eastAsia="方正小标宋简体" w:cs="方正小标宋简体"/>
          <w:b w:val="0"/>
          <w:bCs w:val="0"/>
          <w:i w:val="0"/>
          <w:iCs w:val="0"/>
          <w:caps w:val="0"/>
          <w:color w:val="auto"/>
          <w:spacing w:val="0"/>
          <w:sz w:val="44"/>
          <w:szCs w:val="44"/>
          <w:highlight w:val="none"/>
          <w:u w:val="none"/>
          <w:shd w:val="clear" w:fill="FFFFFF"/>
          <w:vertAlign w:val="baseline"/>
          <w:lang w:val="en-US" w:eastAsia="zh-CN"/>
        </w:rPr>
        <w:t>医药</w:t>
      </w:r>
      <w:r>
        <w:rPr>
          <w:rStyle w:val="8"/>
          <w:rFonts w:hint="eastAsia" w:ascii="方正小标宋简体" w:hAnsi="方正小标宋简体" w:eastAsia="方正小标宋简体" w:cs="方正小标宋简体"/>
          <w:b w:val="0"/>
          <w:bCs w:val="0"/>
          <w:i w:val="0"/>
          <w:iCs w:val="0"/>
          <w:caps w:val="0"/>
          <w:color w:val="auto"/>
          <w:spacing w:val="0"/>
          <w:sz w:val="44"/>
          <w:szCs w:val="44"/>
          <w:highlight w:val="none"/>
          <w:u w:val="none"/>
          <w:shd w:val="clear" w:fill="FFFFFF"/>
          <w:vertAlign w:val="baseline"/>
        </w:rPr>
        <w:t>机构名单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i w:val="0"/>
          <w:iCs w:val="0"/>
          <w:caps w:val="0"/>
          <w:color w:val="auto"/>
          <w:spacing w:val="0"/>
          <w:sz w:val="32"/>
          <w:szCs w:val="32"/>
          <w:highlight w:val="none"/>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黑体" w:hAnsi="黑体" w:eastAsia="黑体" w:cs="黑体"/>
          <w:b w:val="0"/>
          <w:bCs w:val="0"/>
          <w:i w:val="0"/>
          <w:iCs w:val="0"/>
          <w:caps w:val="0"/>
          <w:color w:val="auto"/>
          <w:spacing w:val="0"/>
          <w:sz w:val="32"/>
          <w:szCs w:val="32"/>
          <w:highlight w:val="none"/>
          <w:u w:val="none"/>
          <w:shd w:val="clear" w:fill="FFFFFF"/>
          <w:vertAlign w:val="baseline"/>
        </w:rPr>
      </w:pPr>
      <w:r>
        <w:rPr>
          <w:rFonts w:hint="eastAsia" w:ascii="黑体" w:hAnsi="黑体" w:eastAsia="黑体" w:cs="黑体"/>
          <w:b w:val="0"/>
          <w:bCs w:val="0"/>
          <w:i w:val="0"/>
          <w:iCs w:val="0"/>
          <w:caps w:val="0"/>
          <w:color w:val="auto"/>
          <w:spacing w:val="0"/>
          <w:sz w:val="32"/>
          <w:szCs w:val="32"/>
          <w:highlight w:val="none"/>
          <w:u w:val="none"/>
          <w:shd w:val="clear" w:fill="FFFFFF"/>
          <w:vertAlign w:val="baseline"/>
          <w:lang w:eastAsia="zh-CN"/>
        </w:rPr>
        <w:t>一、</w:t>
      </w:r>
      <w:r>
        <w:rPr>
          <w:rFonts w:hint="eastAsia" w:ascii="黑体" w:hAnsi="黑体" w:eastAsia="黑体" w:cs="黑体"/>
          <w:b w:val="0"/>
          <w:bCs w:val="0"/>
          <w:i w:val="0"/>
          <w:iCs w:val="0"/>
          <w:caps w:val="0"/>
          <w:color w:val="auto"/>
          <w:spacing w:val="0"/>
          <w:sz w:val="32"/>
          <w:szCs w:val="32"/>
          <w:highlight w:val="none"/>
          <w:u w:val="none"/>
          <w:shd w:val="clear" w:fill="FFFFFF"/>
          <w:vertAlign w:val="baseline"/>
        </w:rPr>
        <w:t>违约定点医疗机构（</w:t>
      </w:r>
      <w:r>
        <w:rPr>
          <w:rFonts w:hint="eastAsia" w:ascii="黑体" w:hAnsi="黑体" w:eastAsia="黑体" w:cs="黑体"/>
          <w:b w:val="0"/>
          <w:bCs w:val="0"/>
          <w:i w:val="0"/>
          <w:iCs w:val="0"/>
          <w:caps w:val="0"/>
          <w:color w:val="auto"/>
          <w:spacing w:val="0"/>
          <w:sz w:val="32"/>
          <w:szCs w:val="32"/>
          <w:highlight w:val="none"/>
          <w:u w:val="none"/>
          <w:shd w:val="clear" w:fill="FFFFFF"/>
          <w:vertAlign w:val="baseline"/>
          <w:lang w:val="en-US" w:eastAsia="zh-CN"/>
        </w:rPr>
        <w:t>11</w:t>
      </w:r>
      <w:r>
        <w:rPr>
          <w:rFonts w:hint="eastAsia" w:ascii="黑体" w:hAnsi="黑体" w:eastAsia="黑体" w:cs="黑体"/>
          <w:b w:val="0"/>
          <w:bCs w:val="0"/>
          <w:i w:val="0"/>
          <w:iCs w:val="0"/>
          <w:caps w:val="0"/>
          <w:color w:val="auto"/>
          <w:spacing w:val="0"/>
          <w:sz w:val="32"/>
          <w:szCs w:val="32"/>
          <w:highlight w:val="none"/>
          <w:u w:val="none"/>
          <w:shd w:val="clear" w:fill="FFFFFF"/>
          <w:vertAlign w:val="baseline"/>
        </w:rPr>
        <w:t>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1</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约谈（7家）</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：深圳泽瑞堂中医诊所</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t>、深圳元气沐善中医诊所、深圳美博森口腔门诊部、深圳紫瑞中医诊所、深圳一朴堂中医诊所、深圳正康骨科医院、深圳远东妇产医院。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.解除协议</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4家</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：深圳笑果引力口腔门诊部</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t>、深圳多视点眼科门诊部、深圳万东医院、深圳逸海堂中医诊所。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黑体" w:hAnsi="黑体" w:eastAsia="黑体" w:cs="黑体"/>
          <w:b w:val="0"/>
          <w:bCs w:val="0"/>
          <w:i w:val="0"/>
          <w:iCs w:val="0"/>
          <w:caps w:val="0"/>
          <w:color w:val="auto"/>
          <w:spacing w:val="0"/>
          <w:sz w:val="32"/>
          <w:szCs w:val="32"/>
          <w:highlight w:val="none"/>
          <w:u w:val="none"/>
          <w:shd w:val="clear" w:fill="FFFFFF"/>
          <w:vertAlign w:val="baseline"/>
        </w:rPr>
      </w:pPr>
      <w:r>
        <w:rPr>
          <w:rFonts w:hint="eastAsia" w:ascii="黑体" w:hAnsi="黑体" w:eastAsia="黑体" w:cs="黑体"/>
          <w:b w:val="0"/>
          <w:bCs w:val="0"/>
          <w:i w:val="0"/>
          <w:iCs w:val="0"/>
          <w:caps w:val="0"/>
          <w:color w:val="auto"/>
          <w:spacing w:val="0"/>
          <w:sz w:val="32"/>
          <w:szCs w:val="32"/>
          <w:highlight w:val="none"/>
          <w:u w:val="none"/>
          <w:shd w:val="clear" w:fill="FFFFFF"/>
          <w:vertAlign w:val="baseline"/>
          <w:lang w:eastAsia="zh-CN"/>
        </w:rPr>
        <w:t>二、</w:t>
      </w:r>
      <w:r>
        <w:rPr>
          <w:rFonts w:hint="eastAsia" w:ascii="黑体" w:hAnsi="黑体" w:eastAsia="黑体" w:cs="黑体"/>
          <w:b w:val="0"/>
          <w:bCs w:val="0"/>
          <w:i w:val="0"/>
          <w:iCs w:val="0"/>
          <w:caps w:val="0"/>
          <w:color w:val="auto"/>
          <w:spacing w:val="0"/>
          <w:sz w:val="32"/>
          <w:szCs w:val="32"/>
          <w:highlight w:val="none"/>
          <w:u w:val="none"/>
          <w:shd w:val="clear" w:fill="FFFFFF"/>
          <w:vertAlign w:val="baseline"/>
        </w:rPr>
        <w:t>违约定点</w:t>
      </w:r>
      <w:r>
        <w:rPr>
          <w:rFonts w:hint="eastAsia" w:ascii="黑体" w:hAnsi="黑体" w:eastAsia="黑体" w:cs="黑体"/>
          <w:b w:val="0"/>
          <w:bCs w:val="0"/>
          <w:i w:val="0"/>
          <w:iCs w:val="0"/>
          <w:caps w:val="0"/>
          <w:color w:val="auto"/>
          <w:spacing w:val="0"/>
          <w:sz w:val="32"/>
          <w:szCs w:val="32"/>
          <w:highlight w:val="none"/>
          <w:u w:val="none"/>
          <w:shd w:val="clear" w:fill="FFFFFF"/>
          <w:vertAlign w:val="baseline"/>
          <w:lang w:val="en-US" w:eastAsia="zh-CN"/>
        </w:rPr>
        <w:t>零售药店</w:t>
      </w:r>
      <w:r>
        <w:rPr>
          <w:rFonts w:hint="eastAsia" w:ascii="黑体" w:hAnsi="黑体" w:eastAsia="黑体" w:cs="黑体"/>
          <w:b w:val="0"/>
          <w:bCs w:val="0"/>
          <w:i w:val="0"/>
          <w:iCs w:val="0"/>
          <w:caps w:val="0"/>
          <w:color w:val="auto"/>
          <w:spacing w:val="0"/>
          <w:sz w:val="32"/>
          <w:szCs w:val="32"/>
          <w:highlight w:val="none"/>
          <w:u w:val="none"/>
          <w:shd w:val="clear" w:fill="FFFFFF"/>
          <w:vertAlign w:val="baseline"/>
        </w:rPr>
        <w:t>（</w:t>
      </w:r>
      <w:r>
        <w:rPr>
          <w:rFonts w:hint="eastAsia" w:ascii="黑体" w:hAnsi="黑体" w:eastAsia="黑体" w:cs="黑体"/>
          <w:b w:val="0"/>
          <w:bCs w:val="0"/>
          <w:i w:val="0"/>
          <w:iCs w:val="0"/>
          <w:caps w:val="0"/>
          <w:color w:val="auto"/>
          <w:spacing w:val="0"/>
          <w:sz w:val="32"/>
          <w:szCs w:val="32"/>
          <w:highlight w:val="none"/>
          <w:u w:val="none"/>
          <w:shd w:val="clear" w:fill="FFFFFF"/>
          <w:vertAlign w:val="baseline"/>
          <w:lang w:val="en-US" w:eastAsia="zh-CN"/>
        </w:rPr>
        <w:t>44</w:t>
      </w:r>
      <w:r>
        <w:rPr>
          <w:rFonts w:hint="eastAsia" w:ascii="黑体" w:hAnsi="黑体" w:eastAsia="黑体" w:cs="黑体"/>
          <w:b w:val="0"/>
          <w:bCs w:val="0"/>
          <w:i w:val="0"/>
          <w:iCs w:val="0"/>
          <w:caps w:val="0"/>
          <w:color w:val="auto"/>
          <w:spacing w:val="0"/>
          <w:sz w:val="32"/>
          <w:szCs w:val="32"/>
          <w:highlight w:val="none"/>
          <w:u w:val="none"/>
          <w:shd w:val="clear" w:fill="FFFFFF"/>
          <w:vertAlign w:val="baseline"/>
        </w:rPr>
        <w:t>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1</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约谈（15家）</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：深圳市亚洲大药房连锁有限公司人民桥分店</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t>、深圳市兴仁济大药房有限公司、深圳市康之源大药房连锁有限公司黄贝岭分店、今福药房（深圳）有限公司、深圳市中港大药房有限公司田贝分店、深圳市深联众康九州通大药房连锁有限公司清水河分店、深圳市杨枝堂大药房、深圳市好邻居大药房有限公司罗湖黄贝岭分店、深圳市中爱药房有限公司大东城分店、深圳市永祥药房连锁有限公司金田分店、深圳市益科南北药行有限公司、深圳市喜隆医药有限公司盐田分店、深圳市南北明华药行有限公司第三分店、深圳市和康堂大药房有限公司坂田分店、深圳市新一德药房连锁有限公司金海雅居分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528" w:leftChars="200" w:right="0" w:hanging="1896" w:hangingChars="600"/>
        <w:jc w:val="both"/>
        <w:textAlignment w:val="baseline"/>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pP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.解除协议</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29家</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：深圳市仁南大药房连锁有限责任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baseline"/>
        <w:rPr>
          <w:rFonts w:hint="default"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val="en-US" w:eastAsia="zh-CN"/>
        </w:rPr>
        <w:t>公</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rPr>
        <w:t>司华达分店</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vertAlign w:val="baseline"/>
          <w:lang w:eastAsia="zh-CN"/>
        </w:rPr>
        <w:t>、深圳市华安堂医药连锁有限公司莲塘坳下二分店、深圳市沙井珑湾药店、深圳市万宁福大药房有限公司布吉莲花路分店、深圳市都市医药股份有限公司建安分店、深圳市都市医药股份有限公司宝田分店、深圳市都市医药股份有限公司盐田街分店、深圳市都市医药股份有限公司西乡分店、深圳市都市医药股份有限公司文汇分店、深圳市都市医药股份有限公司天富安分店、深圳市都市医药股份有限公司石岩分店、深圳市都市医药股份有限公司中粮分店、深圳市都市医药股份有限公司兰花分店、深圳市都市医药股份有限公司学府分店、深圳市都市医药股份有限公司丽苑分店、深圳市都市医药股份有限公司龙井分店、深圳市都市医药股份有限公司丽城分店、深圳市都市医药股份有限公司阳光分店、深圳市都市医药股份有限公司松坪山社区分店、深圳市都市医药股份有限公司官龙一分店、深圳市和君康大药房有限公司中洲分店、深圳市和君康大药房有限公司南油分店、深圳市和君康大药房有限公司阳光分店、深圳市和君康大药房有限公司新围分店、深圳市和君康大药房有限公司茶光分店、深圳市和君康大药房有限公司吉祥分店、深圳市和君康大药房有限公司金域分店、深圳市和君康大药房有限公司光谷苑分店、深圳市颐康堂大药房有限公司。</w:t>
      </w:r>
    </w:p>
    <w:sectPr>
      <w:footerReference r:id="rId5" w:type="first"/>
      <w:footerReference r:id="rId3" w:type="default"/>
      <w:footerReference r:id="rId4" w:type="even"/>
      <w:pgSz w:w="11906" w:h="16838"/>
      <w:pgMar w:top="2098" w:right="1474" w:bottom="1984" w:left="1587" w:header="851" w:footer="1417" w:gutter="0"/>
      <w:pgNumType w:fmt="decimal"/>
      <w:cols w:space="425"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4</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4</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trackRevisions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ODA4YzQwNWJkNmIwMThkMzEyYTg5OGM4MmRiNjcifQ=="/>
    <w:docVar w:name="KGWebUrl" w:val="http://szfile.sz.gov.cn//file/download?md5Path=19bdfbe5edde02abc73a363f158acb7b@50712&amp;webOffice=1&amp;identityId=6EA0256450EC631811FBD9E42926748E&amp;token=50521e020da449639628a5245c76f044&amp;identityId=6EA0256450EC631811FBD9E42926748E&amp;wjbh=52100_B202508604&amp;hddyid=LCA010005_HD_02&amp;fileSrcName=2025_05_22_10_12_37_57d3bc2e879c4c1bb549aa28583ab7c3.docx"/>
    <w:docVar w:name="KSO_WPS_MARK_KEY" w:val="ab2b732a-a557-4100-be8f-9513711a9316"/>
  </w:docVars>
  <w:rsids>
    <w:rsidRoot w:val="6FA07050"/>
    <w:rsid w:val="02081B25"/>
    <w:rsid w:val="035A4CA3"/>
    <w:rsid w:val="07050960"/>
    <w:rsid w:val="09895A4E"/>
    <w:rsid w:val="0CB87D82"/>
    <w:rsid w:val="15FF1672"/>
    <w:rsid w:val="1ABC0179"/>
    <w:rsid w:val="1F95143D"/>
    <w:rsid w:val="25CE081C"/>
    <w:rsid w:val="26DD2CD4"/>
    <w:rsid w:val="29167306"/>
    <w:rsid w:val="2C8B7784"/>
    <w:rsid w:val="34AB6685"/>
    <w:rsid w:val="37F27112"/>
    <w:rsid w:val="384E4602"/>
    <w:rsid w:val="3E153F8D"/>
    <w:rsid w:val="3FF6BDD1"/>
    <w:rsid w:val="44EC0EA2"/>
    <w:rsid w:val="4AB8026D"/>
    <w:rsid w:val="4BC44C6D"/>
    <w:rsid w:val="4CC2083F"/>
    <w:rsid w:val="4D4B4102"/>
    <w:rsid w:val="57460B33"/>
    <w:rsid w:val="5E107091"/>
    <w:rsid w:val="5ECA5074"/>
    <w:rsid w:val="620B30ED"/>
    <w:rsid w:val="64115925"/>
    <w:rsid w:val="655B9C44"/>
    <w:rsid w:val="67BE35AD"/>
    <w:rsid w:val="6BDB446D"/>
    <w:rsid w:val="6F6FFCEA"/>
    <w:rsid w:val="6FA07050"/>
    <w:rsid w:val="6FB1241D"/>
    <w:rsid w:val="6FB6C898"/>
    <w:rsid w:val="6FE7E4A3"/>
    <w:rsid w:val="7162407B"/>
    <w:rsid w:val="73545685"/>
    <w:rsid w:val="752A141E"/>
    <w:rsid w:val="7633568D"/>
    <w:rsid w:val="7673F170"/>
    <w:rsid w:val="77DCD34B"/>
    <w:rsid w:val="7B6FA8CE"/>
    <w:rsid w:val="7BA30986"/>
    <w:rsid w:val="7DC301ED"/>
    <w:rsid w:val="7DF906A6"/>
    <w:rsid w:val="7DFB435D"/>
    <w:rsid w:val="BFBD9C3B"/>
    <w:rsid w:val="D5EA55C5"/>
    <w:rsid w:val="D5FFF3EF"/>
    <w:rsid w:val="DFDEC9A8"/>
    <w:rsid w:val="EBBB9A32"/>
    <w:rsid w:val="EE6F3825"/>
    <w:rsid w:val="F5EF9B21"/>
    <w:rsid w:val="FD571FC3"/>
    <w:rsid w:val="FD7E28C9"/>
    <w:rsid w:val="FEFF8BC5"/>
    <w:rsid w:val="FFEFC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1009</Words>
  <Characters>1035</Characters>
  <Lines>0</Lines>
  <Paragraphs>0</Paragraphs>
  <TotalTime>15</TotalTime>
  <ScaleCrop>false</ScaleCrop>
  <LinksUpToDate>false</LinksUpToDate>
  <CharactersWithSpaces>1107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2022-07-25T06:21:00Z</dcterms:created>
  <dc:creator>黄桂丹</dc:creator>
  <cp:lastModifiedBy>hgd</cp:lastModifiedBy>
  <dcterms:modified xsi:type="dcterms:W3CDTF">2025-05-22T10:31:18Z</dcterms:modified>
  <dc:title>关于向社会通告2022年第二批违约定点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96EDF384D6394D9CB2089F011D538623</vt:lpwstr>
  </property>
</Properties>
</file>