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深圳市202</w:t>
      </w:r>
      <w:r>
        <w:rPr>
          <w:rFonts w:hint="default" w:ascii="方正小标宋_GBK" w:hAnsi="方正小标宋_GBK" w:eastAsia="方正小标宋_GBK" w:cs="方正小标宋_GBK"/>
          <w:sz w:val="44"/>
          <w:szCs w:val="44"/>
          <w:lang w:val="en" w:eastAsia="zh-CN"/>
        </w:rPr>
        <w:t>2</w:t>
      </w:r>
      <w:r>
        <w:rPr>
          <w:rFonts w:hint="eastAsia" w:ascii="方正小标宋_GBK" w:hAnsi="方正小标宋_GBK" w:eastAsia="方正小标宋_GBK" w:cs="方正小标宋_GBK"/>
          <w:sz w:val="44"/>
          <w:szCs w:val="44"/>
          <w:lang w:val="en-US" w:eastAsia="zh-CN"/>
        </w:rPr>
        <w:t>年医疗机构申报新增医疗服务价格项目</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审核结果公示表</w:t>
      </w:r>
    </w:p>
    <w:tbl>
      <w:tblPr>
        <w:tblStyle w:val="6"/>
        <w:tblW w:w="13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585"/>
        <w:gridCol w:w="2177"/>
        <w:gridCol w:w="5135"/>
        <w:gridCol w:w="1124"/>
        <w:gridCol w:w="1064"/>
        <w:gridCol w:w="117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blHeader/>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项目编码</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项目名称</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项目内涵</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除外内容</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计价单位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
              </w:rPr>
            </w:pPr>
            <w:r>
              <w:rPr>
                <w:rFonts w:hint="eastAsia" w:ascii="宋体" w:hAnsi="宋体" w:eastAsia="宋体" w:cs="宋体"/>
                <w:b/>
                <w:i w:val="0"/>
                <w:color w:val="auto"/>
                <w:kern w:val="0"/>
                <w:sz w:val="20"/>
                <w:szCs w:val="20"/>
                <w:u w:val="none"/>
                <w:lang w:val="en-US" w:eastAsia="zh-CN" w:bidi="ar"/>
              </w:rPr>
              <w:t>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120100XXX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早产儿护理</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指对出生时胎龄小于37周的活产婴儿进行护理。评估早产儿病情，患儿胎龄、日龄、体重增长、皮肤等情况，根据体重监护早产儿面色、体温、呼吸、心率、血压变化及各种管路的连接固定。观察喂养过程中的病情变化。体位摆至功能位，定时更换体位，保持体位舒适。</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限胎龄及纠正胎龄不满37周的早产儿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130700XXX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上门服务费</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根据患者需求，医疗机构派出医师、护师、药师或技师等专业人员，前往患者指定地点为其提供合法合规的医药服务。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上门后提供的医疗服务、药品、医用耗材等</w:t>
            </w:r>
            <w:r>
              <w:rPr>
                <w:rFonts w:hint="eastAsia" w:ascii="宋体" w:hAnsi="宋体" w:eastAsia="宋体" w:cs="宋体"/>
                <w:i w:val="0"/>
                <w:color w:val="auto"/>
                <w:sz w:val="20"/>
                <w:szCs w:val="20"/>
                <w:u w:val="none"/>
                <w:lang w:eastAsia="zh-CN"/>
              </w:rPr>
              <w:t>另行计价</w:t>
            </w:r>
            <w:r>
              <w:rPr>
                <w:rFonts w:hint="eastAsia" w:ascii="宋体" w:hAnsi="宋体" w:eastAsia="宋体" w:cs="宋体"/>
                <w:i w:val="0"/>
                <w:color w:val="auto"/>
                <w:sz w:val="20"/>
                <w:szCs w:val="20"/>
                <w:u w:val="none"/>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rPr>
              <w:t>次</w:t>
            </w:r>
            <w:r>
              <w:rPr>
                <w:rFonts w:hint="eastAsia" w:ascii="仿宋_GB2312" w:hAnsi="仿宋_GB2312" w:eastAsia="仿宋_GB2312" w:cs="仿宋_GB2312"/>
                <w:i w:val="0"/>
                <w:color w:val="auto"/>
                <w:sz w:val="20"/>
                <w:szCs w:val="20"/>
                <w:u w:val="none"/>
              </w:rPr>
              <w:t>·</w:t>
            </w:r>
            <w:r>
              <w:rPr>
                <w:rFonts w:hint="eastAsia" w:ascii="宋体" w:hAnsi="宋体" w:eastAsia="宋体" w:cs="宋体"/>
                <w:i w:val="0"/>
                <w:color w:val="auto"/>
                <w:sz w:val="20"/>
                <w:szCs w:val="20"/>
                <w:u w:val="none"/>
                <w:lang w:eastAsia="zh-CN"/>
              </w:rPr>
              <w:t>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次</w:t>
            </w:r>
            <w:r>
              <w:rPr>
                <w:rFonts w:hint="eastAsia" w:ascii="仿宋_GB2312" w:hAnsi="仿宋_GB2312" w:eastAsia="仿宋_GB2312" w:cs="仿宋_GB2312"/>
                <w:i w:val="0"/>
                <w:color w:val="auto"/>
                <w:sz w:val="20"/>
                <w:szCs w:val="20"/>
                <w:u w:val="none"/>
              </w:rPr>
              <w:t>·</w:t>
            </w:r>
            <w:r>
              <w:rPr>
                <w:rFonts w:hint="eastAsia" w:ascii="宋体" w:hAnsi="宋体" w:eastAsia="宋体" w:cs="宋体"/>
                <w:i w:val="0"/>
                <w:color w:val="auto"/>
                <w:sz w:val="20"/>
                <w:szCs w:val="20"/>
                <w:u w:val="none"/>
                <w:lang w:eastAsia="zh-CN"/>
              </w:rPr>
              <w:t>人”中的“人”是指每名专业人员。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210102XXX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骨龄相X线摄影</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患儿行手正位摄片，曝光、冲洗照片（胶片）或完成胶片或其他储存介质（含数字方式）的处理和诊断报告。根据摄片，综合GP图谱、中华05、TW3评分系统，运用数字化软件结合人工进行骨成熟度评估。</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240300XXX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图像引导的三维立体定向放射治疗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过将来自不同角度的辐射束精确聚焦到患者体内的肿瘤，让病灶受到最大剂量的照射，由于靶区周围的剂量降低非常迅速，可以减少对周围正常组织细胞的损害，降低副作用，提升疗效。在精确的影像技术引导下给予局部肿瘤以高剂量、低分割的放射治疗，可获得较高的肿瘤局部控制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疗程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3次及以下按“次”收费，每次</w:t>
            </w:r>
            <w:r>
              <w:rPr>
                <w:rFonts w:hint="eastAsia" w:ascii="宋体" w:hAnsi="宋体" w:eastAsia="宋体" w:cs="宋体"/>
                <w:i w:val="0"/>
                <w:color w:val="auto"/>
                <w:sz w:val="20"/>
                <w:szCs w:val="20"/>
                <w:u w:val="none"/>
                <w:lang w:val="en-US" w:eastAsia="zh-CN"/>
              </w:rPr>
              <w:t>X</w:t>
            </w:r>
            <w:r>
              <w:rPr>
                <w:rFonts w:hint="eastAsia" w:ascii="宋体" w:hAnsi="宋体" w:eastAsia="宋体" w:cs="宋体"/>
                <w:i w:val="0"/>
                <w:color w:val="auto"/>
                <w:sz w:val="20"/>
                <w:szCs w:val="20"/>
                <w:u w:val="none"/>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250302XXX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1,5-脱水-D-山梨醇测定</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样本类型血清，采用吡喃糖氧化酶法在全自动生化分析仪上测定血清样本中1,5-脱水-D-山梨醇含量，出具分析报告，提出临床建议。</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250305XXX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壳多糖酶3样蛋白1检测(化学发光法)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样本类型：血清。样本采集、签收、处理加化学发光标记抗体，检测，质控，审核结果，录入实验室信息系统或人工登记，发送报告</w:t>
            </w:r>
            <w:r>
              <w:rPr>
                <w:rFonts w:hint="eastAsia" w:ascii="宋体" w:hAnsi="宋体" w:eastAsia="宋体" w:cs="宋体"/>
                <w:i w:val="0"/>
                <w:color w:val="auto"/>
                <w:sz w:val="20"/>
                <w:szCs w:val="20"/>
                <w:u w:val="none"/>
                <w:lang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250305XXX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透明质酸（HA）测定</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样本类型：血液、尿液。样本采集、签收、处理，定标和质控，检测样本，审核结果，录入实验室信息系统或人工登记，发送报告；按规定处理废弃物；接受临床相关咨询。</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250309XXX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红细胞叶酸（FA）定量检测（磁微粒化学发光法）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用于体外定量检测人体红细胞中的叶酸水平。</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250401XXX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免疫球蛋白游离轻链定量及比值测定</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包括Kappa型和Lambda型的游离轻链的测定并计算比值。</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310100XXX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128/256导颅内电极脑电图录像监测</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利用埋置植在颅内的电极用128导或256导脑电图仪进行长时间录像脑皮层电图的记录，人工阅图、分析，出报告。</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小时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310207XXX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盐水输注试验</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试验前卧床休息1h，4h静滴2L生理盐水，需监测血压和心率变化，在输注盐水前后分别采血测血浆肾素活性、血醛固酮、血皮质醇及血钾。由专科医生分析和评估试验结果。不含检验费、心电监护、生理盐水及静脉滴注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每试验项目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310208XXX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心脏自主神经功能检查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患者进行卧立位血压测量、卧立位心率检测、Valsalva动作指数检测、深呼吸心率差检测，酌情加做握力试验。全程记录心电RR间期及血压变化，专科医生分析结果并出具报告。不含心电图检查、心率变异性（HRV）检查。</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眼表综合检查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受检者取坐位，头部置于检查仪器头架上，嘱患者注视灯源，进行规定时间内不完全瞬目次数占比检测、眼表泪膜稳定性的观察、泪膜脂质层厚度的测量、睑板腺图像分析等眼表综合检查。图文报告及评估。</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视觉障碍者综合能力康复评估</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由医师召集与此次评定内容相关小组成员（例如康复治疗师、护士、社会工作者、心理咨询员、验光师、辅助器具工程师等），共同对患者进行多维度的检查和现场观察、任务性评估，评估内容包括患者的需求评估、视功能的障碍程度、全身体格评估、功能障碍后的心理状态、视觉障碍后导致的言语、听力、认知、社交等方面能力的发育落后或能力下降，日常生活、学习、工作受限影响的程度等，通过综合评估了解患者功能障碍性质、部位、程度、预后及康复目标充分发表康复意见，提出各自的应对策略、康复计划 (包括近、中、远期)，对计划开展及已执行的计划进行评定、修改、补充。康复治疗结束时再次通过综合评估，对康复疗效进行总结并为下阶段治疗或出院后康复去向给予指导意见。</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光学相干断层扫描血管成像(OCTA)</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含测眼球后极组织血流信号及断层面。</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玻璃体激光消融术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散瞳、眼表麻醉，头带固定、瞄准混浊物，调节能量大小、逐步继续激光玻璃体消融至完全消融或单次治疗最大消融量，去下接触镜、完成治疗。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310513XXX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牙龈隧道制备术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指微创手术器械分离龈瓣，松弛术区龈瓣，制备隧道样结构。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每牙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310701032X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舌下微循环成像</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采集3-5个不同位置的微循环图像后结束采集。选择合适的微循环图像进行分析与评价，评估组织器官的微循环与组织灌注情况。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310702XXX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经皮冠状静脉内无水酒精化学消融术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含冠状静脉内选择性注射无水酒精，将该静脉分支的分布区域心外膜及相应区域部分心内膜面心房肌进行化学性毁损，治疗难治性持续性房颤和二尖瓣峡部相关房速，与导管消融结合。</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多功能激光光电治疗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面部涂抹冷凝胶后，通过滑动电磁波修复手柄治疗，结束后再根据个人皮肤情况，予590nm黄极光/830nm 红外光进行照射，起到舒缓炎症、减少疼痛、修复皮肤屏障功能。</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限用于治疗过敏性皮炎、炎性痤疮、白斑病、白癜风、银屑病等皮肤疾病。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瘢痕射频治疗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清洁皮肤，必要时应用表面麻醉剂，使用射频设备，调整合适能量治疗参数，进行相应部位瘢痕治疗。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1cm2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限用于皮肤疾病治疗。不足1cm2按1cm2计价，大于1cm2加收</w:t>
            </w:r>
            <w:r>
              <w:rPr>
                <w:rFonts w:hint="eastAsia" w:ascii="宋体" w:hAnsi="宋体" w:eastAsia="宋体" w:cs="宋体"/>
                <w:i w:val="0"/>
                <w:color w:val="auto"/>
                <w:sz w:val="20"/>
                <w:szCs w:val="20"/>
                <w:u w:val="none"/>
                <w:lang w:val="en-US" w:eastAsia="zh-CN"/>
              </w:rPr>
              <w:t>X</w:t>
            </w:r>
            <w:r>
              <w:rPr>
                <w:rFonts w:hint="eastAsia" w:ascii="宋体" w:hAnsi="宋体" w:eastAsia="宋体" w:cs="宋体"/>
                <w:i w:val="0"/>
                <w:color w:val="auto"/>
                <w:sz w:val="20"/>
                <w:szCs w:val="20"/>
                <w:u w:val="none"/>
              </w:rPr>
              <w:t>元/cm2</w:t>
            </w:r>
            <w:r>
              <w:rPr>
                <w:rFonts w:hint="eastAsia" w:ascii="宋体" w:hAnsi="宋体" w:eastAsia="宋体" w:cs="宋体"/>
                <w:i w:val="0"/>
                <w:color w:val="auto"/>
                <w:sz w:val="20"/>
                <w:szCs w:val="20"/>
                <w:u w:val="none"/>
                <w:lang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皮肤微针治疗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滚针或电动微针针刺皮肤后药物导入治疗雄激素性脱发、慢性湿疹、黄褐斑、白癜风等疾病。</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1cm2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不足1cm2按1cm2计价，大于1cm2加收</w:t>
            </w:r>
            <w:r>
              <w:rPr>
                <w:rFonts w:hint="eastAsia" w:ascii="宋体" w:hAnsi="宋体" w:eastAsia="宋体" w:cs="宋体"/>
                <w:i w:val="0"/>
                <w:color w:val="auto"/>
                <w:sz w:val="20"/>
                <w:szCs w:val="20"/>
                <w:u w:val="none"/>
                <w:lang w:val="en-US" w:eastAsia="zh-CN"/>
              </w:rPr>
              <w:t>X</w:t>
            </w:r>
            <w:r>
              <w:rPr>
                <w:rFonts w:hint="eastAsia" w:ascii="宋体" w:hAnsi="宋体" w:eastAsia="宋体" w:cs="宋体"/>
                <w:i w:val="0"/>
                <w:color w:val="auto"/>
                <w:sz w:val="20"/>
                <w:szCs w:val="20"/>
                <w:u w:val="none"/>
              </w:rPr>
              <w:t>元/cm2</w:t>
            </w:r>
            <w:r>
              <w:rPr>
                <w:rFonts w:hint="eastAsia" w:ascii="宋体" w:hAnsi="宋体" w:eastAsia="宋体" w:cs="宋体"/>
                <w:i w:val="0"/>
                <w:color w:val="auto"/>
                <w:sz w:val="20"/>
                <w:szCs w:val="20"/>
                <w:u w:val="none"/>
                <w:lang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320500XXX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经皮冠状动脉瘘栓塞术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含介入堵塞冠状动脉瘘,穿刺股动静脉，经导管送入封堵器、血管塞、弹簧栓等。</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血管塞</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使用电磁刀加收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利用电磁场效应及电磁场近场能量，对软组织或神经组织周围等敏感区域实施无压力汽化切割，并依据术中出血情况，实施无焦痂止血操作。适用于肿瘤、血管等病灶的处理。</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电磁刀手术电极</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330801XXX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经导管二尖瓣钳夹术(MitraClip)</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进行股静脉穿刺，食道超声引导下进入左心房，输送鞘到指定部位，将夹子缓慢送至二尖瓣下，3D超声调整夹子和瓣膜的相对应关系，寻找二尖瓣返流最严重的部位进行预钳夹，用超声评估钳夹效果，结果满意后，进行最终钳夹和释放。</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经导管二尖瓣夹可操控导引导管、血管缝合器</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适用人群：外科手术高危或禁忌的症状性二尖瓣中度至重度反流(MR≥3+)，包括DMR（退行性二尖瓣反流）和FMR（功能性二尖瓣反流）。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331203XXX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显微精索静脉曲张低位结扎术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全身或硬膜外麻醉，腹股沟管外环或外环下切口，显微镜下逐层切开精索，保护精索动脉、输精管及其动脉，结扎曲张的精索内、外静脉等，精索复位，止血缝合。</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单侧</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整脊盆底治疗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含盆底肌筋膜手法、骶尾关节整复术。</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110500XXX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大数据癌症风险筛查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要求获取体检者的血常规、尿常规、血生化等生理检验数据，与数据库海量的癌症患者的生理检验数据进行比对，从中找出血液、尿液与癌症之间的关联因素及发病规律，给予体检者一个量化癌前病变风险和早期癌症的预测报告。</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120100XXX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早产儿发育支持照护</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袋鼠式护理。由于早产儿器官功能不成熟、由护师指导家长对早产儿进行喂养、抚触、语言等全程照护措施，保持家长与患儿皮肤亲密接触。护理中需进行严密监测患儿的生命体征和反应状态，必要时进行心电监护，随时做好应急和抢救措施准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限胎龄及纠正胎龄不满37周的早产儿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120500005X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水动力清创术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指水动力清创系统清创，含清创术前消毒铺单及术后创面包扎。</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一次性使用水刀头</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超过50cm2</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每10cm2  加收</w:t>
            </w:r>
            <w:r>
              <w:rPr>
                <w:rFonts w:hint="eastAsia" w:ascii="宋体" w:hAnsi="宋体" w:eastAsia="宋体" w:cs="宋体"/>
                <w:i w:val="0"/>
                <w:color w:val="auto"/>
                <w:sz w:val="20"/>
                <w:szCs w:val="20"/>
                <w:u w:val="none"/>
                <w:lang w:val="en-US" w:eastAsia="zh-CN"/>
              </w:rPr>
              <w:t>X</w:t>
            </w:r>
            <w:r>
              <w:rPr>
                <w:rFonts w:hint="eastAsia" w:ascii="宋体" w:hAnsi="宋体" w:eastAsia="宋体" w:cs="宋体"/>
                <w:i w:val="0"/>
                <w:color w:val="auto"/>
                <w:sz w:val="20"/>
                <w:szCs w:val="20"/>
                <w:u w:val="none"/>
              </w:rPr>
              <w:t>元</w:t>
            </w:r>
            <w:r>
              <w:rPr>
                <w:rFonts w:hint="eastAsia" w:ascii="宋体" w:hAnsi="宋体" w:eastAsia="宋体" w:cs="宋体"/>
                <w:i w:val="0"/>
                <w:color w:val="auto"/>
                <w:sz w:val="20"/>
                <w:szCs w:val="20"/>
                <w:u w:val="none"/>
                <w:lang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磁共振引导下聚焦超声子宫肌瘤消融治疗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利用实时磁共振成像技术引导、控制和监测高强度聚焦超声波，无创治疗子宫肌瘤。</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造影剂，镇痛及其药物、镇痛装置</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240101XXX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移动式O形臂数字化摄影</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移动式O形臂数字化摄影在手术中对头颅、颈椎、胸椎、腰椎、骨盆13秒360度扫描，得到700张图合成三维图像，精准、快速为手术导航、机器人的手术提供可信的术中影像。</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250301XXX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涎液化糖链抗原（KL-6）检测-乳胶凝集法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采集标本，分离血清，加入试剂，校准、质控，标本上机，分析报告，审核结果，根据实际情况与临床沟通。</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250402014X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胰岛细胞抗体测定(化学发光法)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样本类型：血液。样本采集、签收、处理，样本与抗原基质片反应，加化学发光标记抗体，检测，质控，审核结果，录入实验室信息系统或人工登记，发送报告。</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250503XXX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肺部感染多重病原体核酸联合检测</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指用封闭巢式多重PCR熔解曲线法对肺部感染多重病原体核酸联合检测试剂盒，一次检测33种肺炎相关病原体的方式。</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250503XXX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呼吸道感染性病原体核酸检测</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指用封闭巢式多重PCR熔解曲线法对上呼吸道感染快速检测的全自动多重PCR检测22种病原体的检测方式。</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250503XXX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血流感染病原体核酸检测</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指用封闭巢式多重PCR熔解曲线法对常见血流感染相关的细菌、真菌及重要的耐药基因等43种靶标的检测方式。</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使用“港澳药械通”试剂盒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250700XXX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高敏乙型肝炎核糖核酸定量检测（RNA捕获探针法）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含样本预处理、全自动化核酸提取、RNA捕获探针法检测、内标定量， 判断并审核结果，发送报告。</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聚焦超声治疗术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在操作部位均匀涂抹耦合剂，拉平皮肤由深到浅的进行不同深度的定点模式和滑动模式治疗头的联合治疗。利用超声波能量精准加热皮下SMAS筋膜层、真皮层、脂肪组织，从而达到缓解疼痛、促进受损组织恢复正常功能。治疗结束根据皮肤需要进行冰敷20-30分钟。</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磁共振引导聚焦超声颅内治疗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在磁共振成像系统（MRI）的实时监控和可视引导下，将聚焦超声能量以非侵入性方式通过完整的颅骨作用于脑组织，靶向热消融大脑中导致运动障碍症状的指定区域，用于治疗药物难治性特发性震颤或以震颤为主的帕金森病。</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眼前节光学相干断层扫描（AS-OCT）</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眼前节组织的断层截面结构并能对角膜，前房和房角,人工晶体（前房型和后房型）进行定量分析。</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310403XXX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鼻咽喉镜检查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鼻咽、口腔、下咽黏膜表面麻醉，电子鼻咽喉镜经鼻腔进入，检查双侧鼻腔、鼻咽腔、口咽腔、喉咽腔及喉腔情况，是否有肿物、异物或其他情况。人工报告。不含活检。</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310513XXX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数字化牙周电子压力探针检查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使用电子压力探针系统，检查并记录全口牙周状况。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一次性使用探针头</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每次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仅限使用电子压力探针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310605XXX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噬菌体移植</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根据临床需求和提供的耐药菌，筛选、纯化、制备高纯度噬菌体制剂，用于临床环境耐药菌消杀，肺部雾化治疗、内外表明细菌感染的冲洗</w:t>
            </w:r>
            <w:bookmarkStart w:id="0" w:name="_GoBack"/>
            <w:bookmarkEnd w:id="0"/>
            <w:r>
              <w:rPr>
                <w:rFonts w:hint="eastAsia" w:ascii="宋体" w:hAnsi="宋体" w:eastAsia="宋体" w:cs="宋体"/>
                <w:i w:val="0"/>
                <w:color w:val="auto"/>
                <w:kern w:val="0"/>
                <w:sz w:val="20"/>
                <w:szCs w:val="20"/>
                <w:u w:val="none"/>
                <w:lang w:val="en-US" w:eastAsia="zh-CN" w:bidi="ar"/>
              </w:rPr>
              <w:t>以及针对全身细菌感染的静脉注射。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一次性使用雾化器</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根据临床提供的分离自医院环境或者患者感染部位的耐药菌，从构建的噬菌体库中筛选具有强杀菌活力的噬菌体完成噬菌体细菌移植。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310800XXX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外周血干细胞采集物T细胞抗原受体（TCR）αβ-T细胞及血细胞分化簇抗原（CD）45RA阳性细胞清除术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指用于异基因造血干细胞移植，通过精准去除移植物中TCRαβ+ T细胞以及CD19+B细胞，避免GVHD和PTLD的发生；CD45RA去除可以保留移植物中的记忆性T细胞、效应性T细胞以及NK细胞等有效成分，充分发挥移植物的GVL效应并达到预防感染之目的。含免疫磁珠法细胞分选和流式细胞术检测。</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使用“港澳药械通”试剂与设备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经皮肺动脉球囊扩张成形术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含穿刺股静脉，在血管造影机透视下送入导管至肺动脉分支狭窄近、远端，行球囊扩张，通过扩张球囊达到扩张狭窄血管的目的。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球囊</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320600XXX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智经皮瘤体内注射凝血酶栓塞假性动脉瘤</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含超声定位及指导，局部麻醉，小型注射器注射凝血酶进入假性动脉瘤的瘤体内，到达封闭瘤体的目的。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荧光染色导航加收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术前或术中静脉注射荧光造影剂吲哚菁绿, ICG进入机体后肿瘤细胞代谢慢，通过荧光导航系统探测发光的ICG，在术中精确查找到癌变组织，确定肿瘤边界和手术切除范围。含造影剂。</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术中使用电磁导航系统加收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应用电磁导航系统，对术中采集定位图像，术中图像注册，手术工具连接指示追踪，以三维立体图像显示在屏幕上，达到精准的手术目的。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330201XXX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神经电刺激及脉冲发生器植入术及术后程控（VNS）</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通过置入脉冲发生器刺激迷走神经等治疗药物难治性癫痫患者，含术后程控。</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迷走神经刺激器组件、电极导线组件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3304XXXXX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眼部硅胶/硅海绵去除术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局麻或全麻下去除眼部暴露或排斥的硅胶/硅海绵。</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330601XXX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术中导航引导加收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用计算机在数字头像处理及高精度测量方面的优势，通过X线、CT、MRI等提供的图像信息，直观显示肉眼无法直接看到的人体结构和手术器械，结合立体定位技术、进行复杂精确的手术。主要涉及内镜鼻窦手术、颅底手术、微创内镜侧颅底、耳显微及耳神经外科手术。</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导航刀头、追踪器、双面胶</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330804XXX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主动脉窦成型术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适用于升主动脉窦瘤，主动脉夹层动脉瘤等疾病的外科手术治疗。通过主动脉窦部成形，可避免主动脉瓣置换，减少主动脉瓣置换术抗凝等相关并发症。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331602XXX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施源器置入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在专用操作间，对患者摆位，体位固定，检查，麻醉，消毒铺巾，在人体腔内或管内放置专用施源器并固定。含浅表部位或术中靶区施源器的置入术。</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340100XXX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脊柱健康评估</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含静态体征、运动模式、体质能力等方面进行定性、定量评估分析。</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缺血预适应治疗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项目利用远隔缺血预适应技术原理，通过对上肢局部给予加压，引起肢体局部轻度、短暂、重复缺血，诱导机体组织或细胞的内源性抗缺血、缺氧的保护机制，使脑或心脏等重要器官对未来致死性缺血损伤（脑卒中、心肌梗死）的耐受力增强，用于缺血性脑卒中患者及高危人群的预防和治疗。</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430000XXX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龙砂开阖枢六气针法</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将《素问?阴阳离合论》所述三阴三阳六种阴阳象态，及其开阖枢变化，投射于古太极图中，结合《伤寒论》六经病欲解时理念，以作出“顾氏三阴三阳太极时相图”为理论基础，根据患儿的出生日期、体质格局、发病症象及当下就诊情况推演出五运六气格局，辨出三阴三阳病机，把握病机，在人体以任意一点为中心作出三阴三阳开阖表变化的圆（以大椎穴或百会穴或神阙穴为圆心），根据病机在相应部位进行针刺。</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拟不通过</w:t>
            </w:r>
          </w:p>
        </w:tc>
      </w:tr>
    </w:tbl>
    <w:p>
      <w:pPr>
        <w:jc w:val="left"/>
        <w:rPr>
          <w:rFonts w:hint="eastAsia" w:ascii="黑体" w:hAnsi="黑体" w:eastAsia="黑体" w:cs="黑体"/>
          <w:sz w:val="44"/>
          <w:szCs w:val="44"/>
          <w:lang w:val="en-US" w:eastAsia="zh-CN"/>
        </w:rPr>
      </w:pPr>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4868545</wp:posOffset>
              </wp:positionH>
              <wp:positionV relativeFrom="paragraph">
                <wp:posOffset>-125730</wp:posOffset>
              </wp:positionV>
              <wp:extent cx="74803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803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35pt;margin-top:-9.9pt;height:22.05pt;width:58.9pt;mso-position-horizontal-relative:margin;z-index:251659264;mso-width-relative:page;mso-height-relative:page;" filled="f" stroked="f" coordsize="21600,21600" o:gfxdata="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jA5ZWFiM2FjNWM5NDNhMmQ3MjQyMTU2MjQyNGEifQ=="/>
  </w:docVars>
  <w:rsids>
    <w:rsidRoot w:val="35C45234"/>
    <w:rsid w:val="00F603E6"/>
    <w:rsid w:val="0209266A"/>
    <w:rsid w:val="06A505C1"/>
    <w:rsid w:val="06FD2D6F"/>
    <w:rsid w:val="082462F3"/>
    <w:rsid w:val="0D7D7815"/>
    <w:rsid w:val="1299716E"/>
    <w:rsid w:val="160174B8"/>
    <w:rsid w:val="18CB0988"/>
    <w:rsid w:val="19A57683"/>
    <w:rsid w:val="1C3C4D31"/>
    <w:rsid w:val="1D103492"/>
    <w:rsid w:val="1DFD54FF"/>
    <w:rsid w:val="21597131"/>
    <w:rsid w:val="21EB2652"/>
    <w:rsid w:val="2577240D"/>
    <w:rsid w:val="263970DD"/>
    <w:rsid w:val="28F85569"/>
    <w:rsid w:val="29CD2D65"/>
    <w:rsid w:val="2CA568F2"/>
    <w:rsid w:val="2F180B46"/>
    <w:rsid w:val="2F300262"/>
    <w:rsid w:val="309C6DAC"/>
    <w:rsid w:val="310516E5"/>
    <w:rsid w:val="32193138"/>
    <w:rsid w:val="32A915AC"/>
    <w:rsid w:val="3381734C"/>
    <w:rsid w:val="35C45234"/>
    <w:rsid w:val="3982147F"/>
    <w:rsid w:val="39A97CF6"/>
    <w:rsid w:val="39D878FE"/>
    <w:rsid w:val="3A374296"/>
    <w:rsid w:val="3AC53563"/>
    <w:rsid w:val="3FCDC2B0"/>
    <w:rsid w:val="40E544CF"/>
    <w:rsid w:val="45283A02"/>
    <w:rsid w:val="460C5F71"/>
    <w:rsid w:val="46DC06FB"/>
    <w:rsid w:val="48FB00A2"/>
    <w:rsid w:val="4BC53ED0"/>
    <w:rsid w:val="4BCD0C9C"/>
    <w:rsid w:val="54AE3152"/>
    <w:rsid w:val="55533907"/>
    <w:rsid w:val="57C1733C"/>
    <w:rsid w:val="5DCE2A95"/>
    <w:rsid w:val="5E3BD923"/>
    <w:rsid w:val="5E817A90"/>
    <w:rsid w:val="5F2038C9"/>
    <w:rsid w:val="5F33403F"/>
    <w:rsid w:val="60A7571B"/>
    <w:rsid w:val="65A12B86"/>
    <w:rsid w:val="67160C83"/>
    <w:rsid w:val="67D7B58D"/>
    <w:rsid w:val="6841330B"/>
    <w:rsid w:val="692F292B"/>
    <w:rsid w:val="6D070B38"/>
    <w:rsid w:val="6DD3062F"/>
    <w:rsid w:val="6E095142"/>
    <w:rsid w:val="6E0A4FC7"/>
    <w:rsid w:val="6FA47235"/>
    <w:rsid w:val="72031D92"/>
    <w:rsid w:val="73027D53"/>
    <w:rsid w:val="7385111B"/>
    <w:rsid w:val="74B411E1"/>
    <w:rsid w:val="764C739E"/>
    <w:rsid w:val="773B3353"/>
    <w:rsid w:val="7BFE1933"/>
    <w:rsid w:val="7C2017E8"/>
    <w:rsid w:val="7D0B2EDE"/>
    <w:rsid w:val="7EB57213"/>
    <w:rsid w:val="7F5F8A35"/>
    <w:rsid w:val="7FDA3E6C"/>
    <w:rsid w:val="7FEF3C07"/>
    <w:rsid w:val="7FFA7216"/>
    <w:rsid w:val="7FFF08A1"/>
    <w:rsid w:val="9DF78A07"/>
    <w:rsid w:val="BF3D95E6"/>
    <w:rsid w:val="BF3EE914"/>
    <w:rsid w:val="BFFDDEEA"/>
    <w:rsid w:val="DFBFE106"/>
    <w:rsid w:val="EF3DC35C"/>
    <w:rsid w:val="EFFE89B1"/>
    <w:rsid w:val="FAD7D724"/>
    <w:rsid w:val="FF8FAA55"/>
    <w:rsid w:val="FFB2165F"/>
    <w:rsid w:val="FFDE86FE"/>
    <w:rsid w:val="FFFF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51"/>
    <w:basedOn w:val="7"/>
    <w:qFormat/>
    <w:uiPriority w:val="0"/>
    <w:rPr>
      <w:rFonts w:hint="eastAsia" w:ascii="仿宋_GB2312" w:eastAsia="仿宋_GB2312" w:cs="仿宋_GB2312"/>
      <w:color w:val="000000"/>
      <w:sz w:val="22"/>
      <w:szCs w:val="22"/>
      <w:u w:val="none"/>
    </w:rPr>
  </w:style>
  <w:style w:type="character" w:customStyle="1" w:styleId="10">
    <w:name w:val="font41"/>
    <w:basedOn w:val="7"/>
    <w:qFormat/>
    <w:uiPriority w:val="0"/>
    <w:rPr>
      <w:rFonts w:hint="eastAsia" w:ascii="仿宋_GB2312" w:eastAsia="仿宋_GB2312" w:cs="仿宋_GB2312"/>
      <w:color w:val="000000"/>
      <w:sz w:val="22"/>
      <w:szCs w:val="22"/>
      <w:u w:val="none"/>
    </w:rPr>
  </w:style>
  <w:style w:type="character" w:customStyle="1" w:styleId="11">
    <w:name w:val="font151"/>
    <w:basedOn w:val="7"/>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5957</Words>
  <Characters>6718</Characters>
  <Lines>0</Lines>
  <Paragraphs>0</Paragraphs>
  <TotalTime>2</TotalTime>
  <ScaleCrop>false</ScaleCrop>
  <LinksUpToDate>false</LinksUpToDate>
  <CharactersWithSpaces>6763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2020-11-23T22:33:00Z</dcterms:created>
  <dc:creator>庹世静</dc:creator>
  <cp:lastModifiedBy>相格格</cp:lastModifiedBy>
  <cp:lastPrinted>2022-10-01T08:53:00Z</cp:lastPrinted>
  <dcterms:modified xsi:type="dcterms:W3CDTF">2023-03-16T09:53:34Z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0B761FA185BA4D9B8F5E7EE5047B0E2C</vt:lpwstr>
  </property>
</Properties>
</file>