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黑体" w:hAnsi="Arial" w:eastAsia="黑体" w:cs="Arial"/>
          <w:sz w:val="52"/>
          <w:szCs w:val="52"/>
        </w:rPr>
      </w:pPr>
      <w:r>
        <w:rPr>
          <w:rFonts w:hint="eastAsia" w:ascii="宋体" w:hAnsi="宋体"/>
          <w:b/>
          <w:spacing w:val="20"/>
          <w:sz w:val="28"/>
        </w:rPr>
        <w:t xml:space="preserve">项目编号：UHOBAC20220062 </w:t>
      </w:r>
    </w:p>
    <w:p>
      <w:pPr>
        <w:jc w:val="center"/>
        <w:rPr>
          <w:rFonts w:ascii="黑体" w:hAnsi="Arial" w:eastAsia="黑体" w:cs="Arial"/>
          <w:sz w:val="52"/>
          <w:szCs w:val="52"/>
        </w:rPr>
      </w:pPr>
    </w:p>
    <w:p>
      <w:pPr>
        <w:jc w:val="center"/>
        <w:rPr>
          <w:rFonts w:ascii="黑体" w:hAnsi="Arial" w:eastAsia="黑体" w:cs="Arial"/>
          <w:sz w:val="52"/>
          <w:szCs w:val="52"/>
        </w:rPr>
      </w:pPr>
    </w:p>
    <w:p>
      <w:pPr>
        <w:jc w:val="center"/>
        <w:rPr>
          <w:rFonts w:ascii="黑体" w:hAnsi="Arial" w:eastAsia="黑体" w:cs="Arial"/>
          <w:sz w:val="52"/>
          <w:szCs w:val="52"/>
        </w:rPr>
      </w:pPr>
    </w:p>
    <w:p>
      <w:pPr>
        <w:jc w:val="center"/>
        <w:rPr>
          <w:rFonts w:ascii="黑体" w:hAnsi="Arial" w:eastAsia="黑体" w:cs="Arial"/>
          <w:sz w:val="52"/>
          <w:szCs w:val="52"/>
        </w:rPr>
      </w:pPr>
      <w:r>
        <w:rPr>
          <w:rFonts w:hint="eastAsia" w:ascii="黑体" w:hAnsi="Arial" w:eastAsia="黑体" w:cs="Arial"/>
          <w:sz w:val="52"/>
          <w:szCs w:val="52"/>
        </w:rPr>
        <w:t>【服务类】</w:t>
      </w:r>
    </w:p>
    <w:p>
      <w:pPr>
        <w:jc w:val="center"/>
        <w:rPr>
          <w:rFonts w:ascii="黑体" w:eastAsia="黑体"/>
          <w:sz w:val="52"/>
          <w:szCs w:val="52"/>
        </w:rPr>
      </w:pPr>
      <w:r>
        <w:rPr>
          <w:rFonts w:hint="eastAsia" w:ascii="黑体" w:eastAsia="黑体"/>
          <w:sz w:val="52"/>
          <w:szCs w:val="52"/>
        </w:rPr>
        <w:t>深圳市医疗保障局宝安分局保安</w:t>
      </w:r>
    </w:p>
    <w:p>
      <w:pPr>
        <w:jc w:val="center"/>
        <w:rPr>
          <w:rFonts w:ascii="黑体" w:eastAsia="黑体"/>
          <w:sz w:val="52"/>
          <w:szCs w:val="52"/>
        </w:rPr>
      </w:pPr>
      <w:r>
        <w:rPr>
          <w:rFonts w:hint="eastAsia" w:ascii="黑体" w:eastAsia="黑体"/>
          <w:sz w:val="52"/>
          <w:szCs w:val="52"/>
        </w:rPr>
        <w:t>服务项目</w:t>
      </w:r>
    </w:p>
    <w:p>
      <w:pPr>
        <w:rPr>
          <w:rFonts w:ascii="黑体" w:eastAsia="黑体"/>
          <w:sz w:val="52"/>
          <w:szCs w:val="52"/>
        </w:rPr>
      </w:pPr>
    </w:p>
    <w:p/>
    <w:p/>
    <w:p/>
    <w:p/>
    <w:p>
      <w:pPr>
        <w:jc w:val="center"/>
        <w:rPr>
          <w:rFonts w:ascii="黑体" w:eastAsia="黑体"/>
          <w:sz w:val="52"/>
          <w:szCs w:val="52"/>
        </w:rPr>
      </w:pPr>
      <w:r>
        <w:rPr>
          <w:rFonts w:hint="eastAsia" w:ascii="黑体" w:eastAsia="黑体"/>
          <w:sz w:val="52"/>
          <w:szCs w:val="52"/>
        </w:rPr>
        <w:t>招 标 文 件</w:t>
      </w:r>
    </w:p>
    <w:p>
      <w:pPr>
        <w:spacing w:line="440" w:lineRule="exact"/>
        <w:ind w:firstLine="1040" w:firstLineChars="200"/>
        <w:rPr>
          <w:rFonts w:ascii="Arial" w:hAnsi="Arial" w:eastAsia="仿宋_GB2312" w:cs="Arial"/>
          <w:sz w:val="52"/>
        </w:rPr>
      </w:pPr>
    </w:p>
    <w:p>
      <w:pPr>
        <w:rPr>
          <w:rFonts w:ascii="Arial" w:hAnsi="Arial" w:eastAsia="仿宋_GB2312" w:cs="Arial"/>
          <w:sz w:val="44"/>
        </w:rPr>
      </w:pPr>
    </w:p>
    <w:p>
      <w:pPr>
        <w:snapToGrid w:val="0"/>
        <w:spacing w:line="480" w:lineRule="auto"/>
        <w:rPr>
          <w:rFonts w:ascii="Arial" w:hAnsi="Arial" w:eastAsia="仿宋_GB2312" w:cs="Arial"/>
          <w:sz w:val="48"/>
        </w:rPr>
      </w:pPr>
    </w:p>
    <w:p>
      <w:pPr>
        <w:snapToGrid w:val="0"/>
        <w:jc w:val="center"/>
        <w:rPr>
          <w:rFonts w:ascii="仿宋_GB2312" w:hAnsi="宋体" w:eastAsia="仿宋_GB2312" w:cs="Arial"/>
          <w:sz w:val="36"/>
          <w:szCs w:val="36"/>
        </w:rPr>
      </w:pPr>
      <w:r>
        <w:rPr>
          <w:rFonts w:hint="eastAsia" w:ascii="仿宋_GB2312" w:hAnsi="宋体" w:eastAsia="仿宋_GB2312" w:cs="Arial"/>
          <w:sz w:val="36"/>
          <w:szCs w:val="36"/>
        </w:rPr>
        <w:t>友和保险经纪有限公司</w:t>
      </w:r>
    </w:p>
    <w:p>
      <w:pPr>
        <w:snapToGrid w:val="0"/>
        <w:jc w:val="center"/>
        <w:rPr>
          <w:rFonts w:ascii="仿宋_GB2312" w:hAnsi="宋体" w:eastAsia="仿宋_GB2312" w:cs="Arial"/>
          <w:sz w:val="36"/>
          <w:szCs w:val="36"/>
        </w:rPr>
      </w:pPr>
    </w:p>
    <w:p>
      <w:pPr>
        <w:jc w:val="center"/>
        <w:rPr>
          <w:rFonts w:ascii="黑体" w:eastAsia="黑体"/>
          <w:sz w:val="36"/>
          <w:szCs w:val="36"/>
        </w:rPr>
      </w:pPr>
      <w:r>
        <w:rPr>
          <w:rFonts w:hint="eastAsia" w:ascii="仿宋_GB2312" w:hAnsi="Arial" w:eastAsia="仿宋_GB2312" w:cs="Arial"/>
          <w:sz w:val="36"/>
          <w:szCs w:val="36"/>
        </w:rPr>
        <w:t>二</w:t>
      </w:r>
      <w:r>
        <w:rPr>
          <w:rFonts w:hint="eastAsia" w:ascii="仿宋_GB2312" w:hAnsi="宋体" w:cs="宋体"/>
          <w:sz w:val="36"/>
          <w:szCs w:val="36"/>
        </w:rPr>
        <w:t>〇</w:t>
      </w:r>
      <w:r>
        <w:rPr>
          <w:rFonts w:hint="eastAsia" w:ascii="仿宋_GB2312" w:hAnsi="Arial" w:eastAsia="仿宋_GB2312" w:cs="Arial"/>
          <w:sz w:val="36"/>
          <w:szCs w:val="36"/>
        </w:rPr>
        <w:t>二二年</w:t>
      </w:r>
      <w:r>
        <w:rPr>
          <w:rFonts w:hint="eastAsia" w:ascii="仿宋_GB2312" w:hAnsi="宋体" w:eastAsia="仿宋_GB2312" w:cs="宋体"/>
          <w:sz w:val="36"/>
          <w:szCs w:val="36"/>
        </w:rPr>
        <w:t>二</w:t>
      </w:r>
      <w:r>
        <w:rPr>
          <w:rFonts w:hint="eastAsia" w:ascii="仿宋_GB2312" w:hAnsi="Arial" w:eastAsia="仿宋_GB2312" w:cs="Arial"/>
          <w:sz w:val="36"/>
          <w:szCs w:val="36"/>
        </w:rPr>
        <w:t>月</w:t>
      </w:r>
      <w:r>
        <w:br w:type="page"/>
      </w:r>
      <w:r>
        <w:rPr>
          <w:rFonts w:hint="eastAsia" w:ascii="黑体" w:eastAsia="黑体"/>
          <w:sz w:val="36"/>
          <w:szCs w:val="36"/>
        </w:rPr>
        <w:t>特别警示条款</w:t>
      </w:r>
    </w:p>
    <w:p>
      <w:pPr>
        <w:pStyle w:val="20"/>
        <w:rPr>
          <w:sz w:val="20"/>
        </w:rPr>
      </w:pPr>
    </w:p>
    <w:p>
      <w:pPr>
        <w:snapToGrid w:val="0"/>
        <w:spacing w:line="360" w:lineRule="auto"/>
        <w:ind w:firstLine="411" w:firstLineChars="196"/>
        <w:rPr>
          <w:rFonts w:ascii="宋体" w:hAnsi="宋体"/>
          <w:szCs w:val="21"/>
        </w:rPr>
      </w:pP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snapToGrid w:val="0"/>
        <w:spacing w:line="360" w:lineRule="auto"/>
        <w:ind w:firstLine="411" w:firstLineChars="196"/>
        <w:rPr>
          <w:rFonts w:ascii="宋体" w:hAnsi="宋体"/>
          <w:szCs w:val="21"/>
        </w:rPr>
      </w:pPr>
      <w:r>
        <w:rPr>
          <w:rFonts w:hint="eastAsia" w:ascii="宋体" w:hAnsi="宋体"/>
          <w:szCs w:val="21"/>
        </w:rPr>
        <w:t>（一）在采购活动中应当回避而未回避的；</w:t>
      </w:r>
    </w:p>
    <w:p>
      <w:pPr>
        <w:snapToGrid w:val="0"/>
        <w:spacing w:line="360" w:lineRule="auto"/>
        <w:ind w:firstLine="411" w:firstLineChars="196"/>
        <w:rPr>
          <w:rFonts w:ascii="宋体" w:hAnsi="宋体"/>
          <w:szCs w:val="21"/>
        </w:rPr>
      </w:pPr>
      <w:r>
        <w:rPr>
          <w:rFonts w:hint="eastAsia" w:ascii="宋体" w:hAnsi="宋体"/>
          <w:szCs w:val="21"/>
        </w:rPr>
        <w:t>（二）未按本条例规定签订、履行采购合同，造成严重后果的；</w:t>
      </w:r>
    </w:p>
    <w:p>
      <w:pPr>
        <w:snapToGrid w:val="0"/>
        <w:spacing w:line="360" w:lineRule="auto"/>
        <w:ind w:firstLine="411" w:firstLineChars="196"/>
        <w:rPr>
          <w:rFonts w:ascii="宋体" w:hAnsi="宋体"/>
          <w:szCs w:val="21"/>
        </w:rPr>
      </w:pPr>
      <w:r>
        <w:rPr>
          <w:rFonts w:hint="eastAsia" w:ascii="宋体" w:hAnsi="宋体"/>
          <w:szCs w:val="21"/>
        </w:rPr>
        <w:t>（三）隐瞒真实情况，提供虚假资料的；</w:t>
      </w:r>
    </w:p>
    <w:p>
      <w:pPr>
        <w:snapToGrid w:val="0"/>
        <w:spacing w:line="360" w:lineRule="auto"/>
        <w:ind w:firstLine="411" w:firstLineChars="196"/>
        <w:rPr>
          <w:rFonts w:ascii="宋体" w:hAnsi="宋体"/>
          <w:szCs w:val="21"/>
        </w:rPr>
      </w:pPr>
      <w:r>
        <w:rPr>
          <w:rFonts w:hint="eastAsia" w:ascii="宋体" w:hAnsi="宋体"/>
          <w:szCs w:val="21"/>
        </w:rPr>
        <w:t>（四）以非法手段排斥其他供应商参与竞争的；</w:t>
      </w:r>
    </w:p>
    <w:p>
      <w:pPr>
        <w:snapToGrid w:val="0"/>
        <w:spacing w:line="360" w:lineRule="auto"/>
        <w:ind w:firstLine="411" w:firstLineChars="196"/>
        <w:rPr>
          <w:rFonts w:ascii="宋体" w:hAnsi="宋体"/>
          <w:szCs w:val="21"/>
        </w:rPr>
      </w:pPr>
      <w:r>
        <w:rPr>
          <w:rFonts w:hint="eastAsia" w:ascii="宋体" w:hAnsi="宋体"/>
          <w:szCs w:val="21"/>
        </w:rPr>
        <w:t>（五）与其他采购参加人串通投标的；</w:t>
      </w:r>
    </w:p>
    <w:p>
      <w:pPr>
        <w:snapToGrid w:val="0"/>
        <w:spacing w:line="360" w:lineRule="auto"/>
        <w:ind w:firstLine="411" w:firstLineChars="196"/>
        <w:rPr>
          <w:rFonts w:ascii="宋体" w:hAnsi="宋体"/>
          <w:szCs w:val="21"/>
        </w:rPr>
      </w:pPr>
      <w:r>
        <w:rPr>
          <w:rFonts w:hint="eastAsia" w:ascii="宋体" w:hAnsi="宋体"/>
          <w:szCs w:val="21"/>
        </w:rPr>
        <w:t>（六）恶意投诉的；</w:t>
      </w:r>
    </w:p>
    <w:p>
      <w:pPr>
        <w:snapToGrid w:val="0"/>
        <w:spacing w:line="360" w:lineRule="auto"/>
        <w:ind w:firstLine="411" w:firstLineChars="196"/>
        <w:rPr>
          <w:rFonts w:ascii="宋体" w:hAnsi="宋体"/>
          <w:szCs w:val="21"/>
        </w:rPr>
      </w:pPr>
      <w:r>
        <w:rPr>
          <w:rFonts w:hint="eastAsia" w:ascii="宋体" w:hAnsi="宋体"/>
          <w:szCs w:val="21"/>
        </w:rPr>
        <w:t>（七）向采购项目相关人行贿或者提供其他不当利益的；</w:t>
      </w:r>
    </w:p>
    <w:p>
      <w:pPr>
        <w:snapToGrid w:val="0"/>
        <w:spacing w:line="360" w:lineRule="auto"/>
        <w:ind w:firstLine="411" w:firstLineChars="196"/>
        <w:rPr>
          <w:rFonts w:ascii="宋体" w:hAnsi="宋体"/>
          <w:szCs w:val="21"/>
        </w:rPr>
      </w:pPr>
      <w:r>
        <w:rPr>
          <w:rFonts w:hint="eastAsia" w:ascii="宋体" w:hAnsi="宋体"/>
          <w:szCs w:val="21"/>
        </w:rPr>
        <w:t>（八）阻碍、抗拒主管部门监督检查的；</w:t>
      </w:r>
    </w:p>
    <w:p>
      <w:pPr>
        <w:snapToGrid w:val="0"/>
        <w:spacing w:line="360" w:lineRule="auto"/>
        <w:ind w:firstLine="411" w:firstLineChars="196"/>
        <w:rPr>
          <w:rFonts w:ascii="宋体" w:hAnsi="宋体"/>
          <w:szCs w:val="21"/>
        </w:rPr>
      </w:pPr>
      <w:r>
        <w:rPr>
          <w:rFonts w:hint="eastAsia" w:ascii="宋体" w:hAnsi="宋体"/>
          <w:szCs w:val="21"/>
        </w:rPr>
        <w:t>（九）其他违反本条例规定的行为。</w:t>
      </w:r>
    </w:p>
    <w:p>
      <w:pPr>
        <w:snapToGrid w:val="0"/>
        <w:spacing w:line="360" w:lineRule="auto"/>
        <w:ind w:firstLine="411" w:firstLineChars="196"/>
        <w:rPr>
          <w:rFonts w:ascii="宋体" w:hAnsi="宋体"/>
          <w:szCs w:val="21"/>
        </w:rPr>
      </w:pPr>
      <w:r>
        <w:rPr>
          <w:rFonts w:hint="eastAsia" w:ascii="宋体" w:hAnsi="宋体"/>
          <w:szCs w:val="21"/>
        </w:rPr>
        <w:t>《深圳经济特区政府采购条例实施细则》第七十六条  供应商有下列行为之一的，由主管部门记入供应商诚信档案并作出以下处罚：</w:t>
      </w:r>
    </w:p>
    <w:p>
      <w:pPr>
        <w:snapToGrid w:val="0"/>
        <w:spacing w:line="360" w:lineRule="auto"/>
        <w:ind w:firstLine="411" w:firstLineChars="196"/>
        <w:rPr>
          <w:rFonts w:ascii="宋体" w:hAnsi="宋体"/>
          <w:szCs w:val="21"/>
        </w:rPr>
      </w:pPr>
      <w:r>
        <w:rPr>
          <w:rFonts w:hint="eastAsia" w:ascii="宋体" w:hAnsi="宋体"/>
          <w:szCs w:val="21"/>
        </w:rPr>
        <w:t>（一）违法行为属于采购条例第五十七条第（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元以上五百万元以下的，处以采购金额千分之二十的罚款，三年内禁止其参与本市政府采购。</w:t>
      </w:r>
    </w:p>
    <w:p>
      <w:pPr>
        <w:snapToGrid w:val="0"/>
        <w:spacing w:line="360" w:lineRule="auto"/>
        <w:ind w:firstLine="411" w:firstLineChars="196"/>
        <w:rPr>
          <w:rFonts w:ascii="宋体" w:hAnsi="宋体"/>
          <w:szCs w:val="21"/>
        </w:rPr>
      </w:pPr>
      <w:r>
        <w:rPr>
          <w:rFonts w:hint="eastAsia" w:ascii="宋体" w:hAnsi="宋体"/>
          <w:szCs w:val="21"/>
        </w:rPr>
        <w:t>（二）违法行为属于采购条例第五十七条第（五）、（七）项情形，涉及的采购金额累计在一百万元以下，处以采购金额千分之十五的罚款，两年内禁止其参与本市政府采购；涉及的采购金额累计在一百万元以上两百万元以下的，处以采购金额千分之二十的罚款，三年内禁止其参与本市政府采购。</w:t>
      </w:r>
    </w:p>
    <w:p>
      <w:pPr>
        <w:snapToGrid w:val="0"/>
        <w:spacing w:line="360" w:lineRule="auto"/>
        <w:ind w:firstLine="411" w:firstLineChars="196"/>
        <w:rPr>
          <w:rFonts w:ascii="宋体" w:hAnsi="宋体"/>
          <w:szCs w:val="21"/>
        </w:rPr>
      </w:pPr>
      <w:r>
        <w:rPr>
          <w:rFonts w:hint="eastAsia" w:ascii="宋体" w:hAnsi="宋体"/>
          <w:szCs w:val="21"/>
        </w:rPr>
        <w:t>《深圳经济特区政府采购条例实施细则》第七十七条  供应商有下列行为之一的，属于情节严重，由市场监管部门依法吊销其营业执照，主管部门取消其参与本市政府采购的资格，并作出以下处罚：</w:t>
      </w:r>
    </w:p>
    <w:p>
      <w:pPr>
        <w:snapToGrid w:val="0"/>
        <w:spacing w:line="360" w:lineRule="auto"/>
        <w:ind w:firstLine="411" w:firstLineChars="196"/>
        <w:rPr>
          <w:rFonts w:ascii="宋体" w:hAnsi="宋体"/>
          <w:szCs w:val="21"/>
        </w:rPr>
      </w:pPr>
      <w:r>
        <w:rPr>
          <w:rFonts w:hint="eastAsia" w:ascii="宋体" w:hAnsi="宋体"/>
          <w:szCs w:val="21"/>
        </w:rPr>
        <w:t>（一）违法行为属于采购条例第五十七条第（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pPr>
        <w:snapToGrid w:val="0"/>
        <w:spacing w:line="360" w:lineRule="auto"/>
        <w:ind w:firstLine="411" w:firstLineChars="196"/>
        <w:rPr>
          <w:rFonts w:ascii="宋体" w:hAnsi="宋体"/>
          <w:szCs w:val="21"/>
        </w:rPr>
      </w:pPr>
      <w:r>
        <w:rPr>
          <w:rFonts w:hint="eastAsia" w:ascii="宋体" w:hAnsi="宋体"/>
          <w:szCs w:val="21"/>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pPr>
        <w:snapToGrid w:val="0"/>
        <w:spacing w:line="360" w:lineRule="auto"/>
        <w:ind w:firstLine="411" w:firstLineChars="196"/>
        <w:rPr>
          <w:rFonts w:ascii="宋体" w:hAnsi="宋体"/>
          <w:szCs w:val="21"/>
        </w:rPr>
      </w:pPr>
      <w:r>
        <w:rPr>
          <w:rFonts w:hint="eastAsia" w:ascii="宋体" w:hAnsi="宋体"/>
          <w:szCs w:val="21"/>
        </w:rPr>
        <w:t>《深圳经济特区政府采购条例实施细则》第七十九条  供应商有下列情形之一的，属于采购条例所称的串通投标行为，按照采购条例第五十七条有关规定处理：</w:t>
      </w:r>
    </w:p>
    <w:p>
      <w:pPr>
        <w:snapToGrid w:val="0"/>
        <w:spacing w:line="360" w:lineRule="auto"/>
        <w:ind w:firstLine="411" w:firstLineChars="196"/>
        <w:rPr>
          <w:rFonts w:ascii="宋体" w:hAnsi="宋体"/>
          <w:szCs w:val="21"/>
        </w:rPr>
      </w:pPr>
      <w:r>
        <w:rPr>
          <w:rFonts w:hint="eastAsia" w:ascii="宋体" w:hAnsi="宋体"/>
          <w:szCs w:val="21"/>
        </w:rPr>
        <w:t>（一）投标供应商之间相互约定给予未中标的供应商利益补偿。</w:t>
      </w:r>
    </w:p>
    <w:p>
      <w:pPr>
        <w:snapToGrid w:val="0"/>
        <w:spacing w:line="360" w:lineRule="auto"/>
        <w:ind w:firstLine="411" w:firstLineChars="196"/>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pPr>
        <w:snapToGrid w:val="0"/>
        <w:spacing w:line="360" w:lineRule="auto"/>
        <w:ind w:firstLine="411" w:firstLineChars="196"/>
        <w:rPr>
          <w:rFonts w:ascii="宋体" w:hAnsi="宋体"/>
          <w:szCs w:val="21"/>
        </w:rPr>
      </w:pPr>
      <w:r>
        <w:rPr>
          <w:rFonts w:hint="eastAsia" w:ascii="宋体" w:hAnsi="宋体"/>
          <w:szCs w:val="21"/>
        </w:rPr>
        <w:t>（三）不同投标供应商的投标文件由同一单位或者同一人编制，或者由同一人分阶段参与编制的。</w:t>
      </w:r>
    </w:p>
    <w:p>
      <w:pPr>
        <w:snapToGrid w:val="0"/>
        <w:spacing w:line="360" w:lineRule="auto"/>
        <w:ind w:firstLine="411" w:firstLineChars="196"/>
        <w:rPr>
          <w:rFonts w:ascii="宋体" w:hAnsi="宋体"/>
          <w:szCs w:val="21"/>
        </w:rPr>
      </w:pPr>
      <w:r>
        <w:rPr>
          <w:rFonts w:hint="eastAsia" w:ascii="宋体" w:hAnsi="宋体"/>
          <w:szCs w:val="21"/>
        </w:rPr>
        <w:t>（四）不同投标供应商的投标文件或部分投标文件相互混装。</w:t>
      </w:r>
    </w:p>
    <w:p>
      <w:pPr>
        <w:snapToGrid w:val="0"/>
        <w:spacing w:line="360" w:lineRule="auto"/>
        <w:ind w:firstLine="411" w:firstLineChars="196"/>
        <w:rPr>
          <w:rFonts w:ascii="宋体" w:hAnsi="宋体"/>
          <w:szCs w:val="21"/>
        </w:rPr>
      </w:pPr>
      <w:r>
        <w:rPr>
          <w:rFonts w:hint="eastAsia" w:ascii="宋体" w:hAnsi="宋体"/>
          <w:szCs w:val="21"/>
        </w:rPr>
        <w:t>（五）不同投标供应商的投标文件内容存在非正常一致。</w:t>
      </w:r>
    </w:p>
    <w:p>
      <w:pPr>
        <w:snapToGrid w:val="0"/>
        <w:spacing w:line="360" w:lineRule="auto"/>
        <w:ind w:firstLine="411" w:firstLineChars="196"/>
        <w:rPr>
          <w:rFonts w:ascii="宋体" w:hAnsi="宋体"/>
          <w:szCs w:val="21"/>
        </w:rPr>
      </w:pPr>
      <w:r>
        <w:rPr>
          <w:rFonts w:hint="eastAsia" w:ascii="宋体" w:hAnsi="宋体"/>
          <w:szCs w:val="21"/>
        </w:rPr>
        <w:t>（六）由同一单位工作人员为两家以上（含两家）供应商进行同一项投标活动的。</w:t>
      </w:r>
    </w:p>
    <w:p>
      <w:pPr>
        <w:snapToGrid w:val="0"/>
        <w:spacing w:line="360" w:lineRule="auto"/>
        <w:ind w:firstLine="411" w:firstLineChars="196"/>
        <w:rPr>
          <w:rFonts w:ascii="宋体" w:hAnsi="宋体"/>
          <w:szCs w:val="21"/>
        </w:rPr>
      </w:pPr>
      <w:r>
        <w:rPr>
          <w:rFonts w:hint="eastAsia" w:ascii="宋体" w:hAnsi="宋体"/>
          <w:szCs w:val="21"/>
        </w:rPr>
        <w:t>（七）主管部门依照法律、法规认定的其他情形。</w:t>
      </w:r>
    </w:p>
    <w:p>
      <w:pPr>
        <w:snapToGrid w:val="0"/>
        <w:spacing w:line="360" w:lineRule="auto"/>
        <w:ind w:firstLine="411" w:firstLineChars="196"/>
        <w:rPr>
          <w:rFonts w:ascii="宋体" w:hAnsi="宋体"/>
          <w:szCs w:val="21"/>
        </w:rPr>
      </w:pPr>
      <w:r>
        <w:rPr>
          <w:rFonts w:hint="eastAsia" w:ascii="宋体" w:hAnsi="宋体"/>
          <w:szCs w:val="21"/>
        </w:rPr>
        <w:t>《深圳经济特区政府采购条例实施细则》第八十一条  供应商有下列情形之一的，属于隐瞒真实情况，提供虚假资料，按照采购条例第五十七条的有关规定处理：</w:t>
      </w:r>
    </w:p>
    <w:p>
      <w:pPr>
        <w:snapToGrid w:val="0"/>
        <w:spacing w:line="360" w:lineRule="auto"/>
        <w:ind w:firstLine="411" w:firstLineChars="196"/>
        <w:rPr>
          <w:rFonts w:ascii="宋体" w:hAnsi="宋体"/>
          <w:szCs w:val="21"/>
        </w:rPr>
      </w:pPr>
      <w:r>
        <w:rPr>
          <w:rFonts w:hint="eastAsia" w:ascii="宋体" w:hAnsi="宋体"/>
          <w:szCs w:val="21"/>
        </w:rPr>
        <w:t>（一）通过转让或者租借等方式从其他单位获取资格或者资质证书投标的。</w:t>
      </w:r>
    </w:p>
    <w:p>
      <w:pPr>
        <w:snapToGrid w:val="0"/>
        <w:spacing w:line="360" w:lineRule="auto"/>
        <w:ind w:firstLine="411" w:firstLineChars="196"/>
        <w:rPr>
          <w:rFonts w:ascii="宋体" w:hAnsi="宋体"/>
          <w:szCs w:val="21"/>
        </w:rPr>
      </w:pPr>
      <w:r>
        <w:rPr>
          <w:rFonts w:hint="eastAsia" w:ascii="宋体" w:hAnsi="宋体"/>
          <w:szCs w:val="21"/>
        </w:rPr>
        <w:t>（二）由其他单位或者其他单位负责人在投标供应商编制的投标文件上加盖印章或者签字的。</w:t>
      </w:r>
    </w:p>
    <w:p>
      <w:pPr>
        <w:snapToGrid w:val="0"/>
        <w:spacing w:line="360" w:lineRule="auto"/>
        <w:ind w:firstLine="411" w:firstLineChars="196"/>
        <w:rPr>
          <w:rFonts w:ascii="宋体" w:hAnsi="宋体"/>
          <w:szCs w:val="21"/>
        </w:rPr>
      </w:pPr>
      <w:r>
        <w:rPr>
          <w:rFonts w:hint="eastAsia" w:ascii="宋体" w:hAnsi="宋体"/>
          <w:szCs w:val="21"/>
        </w:rPr>
        <w:t>（三）项目负责人或者主要技术人员不是本单位人员的。</w:t>
      </w:r>
    </w:p>
    <w:p>
      <w:pPr>
        <w:snapToGrid w:val="0"/>
        <w:spacing w:line="360" w:lineRule="auto"/>
        <w:ind w:firstLine="411" w:firstLineChars="196"/>
        <w:rPr>
          <w:rFonts w:ascii="宋体" w:hAnsi="宋体"/>
          <w:szCs w:val="21"/>
        </w:rPr>
      </w:pPr>
      <w:r>
        <w:rPr>
          <w:rFonts w:hint="eastAsia" w:ascii="宋体" w:hAnsi="宋体"/>
          <w:szCs w:val="21"/>
        </w:rPr>
        <w:t>（四）投标保证金不是从投标供应商基本账户转出的。</w:t>
      </w:r>
    </w:p>
    <w:p>
      <w:pPr>
        <w:snapToGrid w:val="0"/>
        <w:spacing w:line="360" w:lineRule="auto"/>
        <w:ind w:firstLine="411" w:firstLineChars="196"/>
        <w:rPr>
          <w:rFonts w:ascii="宋体" w:hAnsi="宋体"/>
          <w:szCs w:val="21"/>
        </w:rPr>
      </w:pPr>
      <w:r>
        <w:rPr>
          <w:rFonts w:hint="eastAsia" w:ascii="宋体" w:hAnsi="宋体"/>
          <w:szCs w:val="21"/>
        </w:rPr>
        <w:t>（五）其他隐瞒真实情况、提供虚假资料的行为。</w:t>
      </w:r>
    </w:p>
    <w:p>
      <w:r>
        <w:rPr>
          <w:rFonts w:hint="eastAsia" w:ascii="宋体" w:hAnsi="宋体"/>
          <w:szCs w:val="21"/>
        </w:rPr>
        <w:t>投标供应商不能提供项目负责人或者主要技术人员的劳动合同、社会保险等劳动关系证明材料的，视为存在前款第（三）项规定的情形。</w:t>
      </w:r>
    </w:p>
    <w:p>
      <w:pPr>
        <w:rPr>
          <w:rFonts w:ascii="黑体" w:eastAsia="黑体"/>
          <w:sz w:val="36"/>
          <w:szCs w:val="36"/>
        </w:rPr>
      </w:pPr>
      <w:r>
        <w:rPr>
          <w:rFonts w:hint="eastAsia" w:ascii="黑体" w:eastAsia="黑体"/>
          <w:sz w:val="36"/>
          <w:szCs w:val="36"/>
        </w:rPr>
        <w:br w:type="page"/>
      </w:r>
    </w:p>
    <w:p>
      <w:pPr>
        <w:snapToGrid w:val="0"/>
        <w:spacing w:line="480" w:lineRule="auto"/>
        <w:jc w:val="center"/>
        <w:rPr>
          <w:rFonts w:ascii="Arial" w:hAnsi="Arial" w:eastAsia="仿宋_GB2312" w:cs="Arial"/>
          <w:sz w:val="52"/>
        </w:rPr>
      </w:pPr>
      <w:r>
        <w:rPr>
          <w:rFonts w:hint="eastAsia" w:ascii="黑体" w:eastAsia="黑体"/>
          <w:sz w:val="36"/>
          <w:szCs w:val="36"/>
        </w:rPr>
        <w:t>目录</w:t>
      </w:r>
    </w:p>
    <w:p>
      <w:pPr>
        <w:pStyle w:val="30"/>
        <w:tabs>
          <w:tab w:val="right" w:leader="dot" w:pos="8306"/>
        </w:tabs>
      </w:pPr>
      <w:r>
        <w:rPr>
          <w:rFonts w:hint="eastAsia" w:ascii="宋体" w:hAnsi="宋体" w:cs="宋体"/>
          <w:sz w:val="21"/>
          <w:szCs w:val="21"/>
        </w:rPr>
        <w:fldChar w:fldCharType="begin"/>
      </w:r>
      <w:r>
        <w:rPr>
          <w:rFonts w:hint="eastAsia" w:ascii="宋体" w:hAnsi="宋体" w:cs="宋体"/>
          <w:sz w:val="21"/>
          <w:szCs w:val="21"/>
        </w:rPr>
        <w:instrText xml:space="preserve"> TOC \o "1-3" \h \z \u </w:instrText>
      </w:r>
      <w:r>
        <w:rPr>
          <w:rFonts w:hint="eastAsia" w:ascii="宋体" w:hAnsi="宋体" w:cs="宋体"/>
          <w:sz w:val="21"/>
          <w:szCs w:val="21"/>
        </w:rPr>
        <w:fldChar w:fldCharType="separate"/>
      </w:r>
      <w:r>
        <w:rPr>
          <w:rFonts w:hint="eastAsia" w:ascii="宋体" w:hAnsi="宋体" w:cs="宋体"/>
          <w:szCs w:val="21"/>
        </w:rPr>
        <w:fldChar w:fldCharType="begin"/>
      </w:r>
      <w:r>
        <w:rPr>
          <w:rFonts w:hint="eastAsia" w:ascii="宋体" w:hAnsi="宋体" w:cs="宋体"/>
          <w:szCs w:val="21"/>
        </w:rPr>
        <w:instrText xml:space="preserve"> HYPERLINK \l _Toc9883 </w:instrText>
      </w:r>
      <w:r>
        <w:rPr>
          <w:rFonts w:hint="eastAsia" w:ascii="宋体" w:hAnsi="宋体" w:cs="宋体"/>
          <w:szCs w:val="21"/>
        </w:rPr>
        <w:fldChar w:fldCharType="separate"/>
      </w:r>
      <w:r>
        <w:rPr>
          <w:rFonts w:hint="eastAsia" w:eastAsia="黑体"/>
        </w:rPr>
        <w:t>第一册通用条款</w:t>
      </w:r>
      <w:r>
        <w:tab/>
      </w:r>
      <w:r>
        <w:fldChar w:fldCharType="begin"/>
      </w:r>
      <w:r>
        <w:instrText xml:space="preserve"> PAGEREF _Toc9883 </w:instrText>
      </w:r>
      <w:r>
        <w:fldChar w:fldCharType="separate"/>
      </w:r>
      <w:r>
        <w:t>6</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_Toc29115 </w:instrText>
      </w:r>
      <w:r>
        <w:rPr>
          <w:rFonts w:hint="eastAsia" w:ascii="宋体" w:hAnsi="宋体" w:cs="宋体"/>
          <w:szCs w:val="21"/>
        </w:rPr>
        <w:fldChar w:fldCharType="separate"/>
      </w:r>
      <w:r>
        <w:rPr>
          <w:rFonts w:hint="eastAsia"/>
        </w:rPr>
        <w:t>第一章总则</w:t>
      </w:r>
      <w:r>
        <w:tab/>
      </w:r>
      <w:r>
        <w:fldChar w:fldCharType="begin"/>
      </w:r>
      <w:r>
        <w:instrText xml:space="preserve"> PAGEREF _Toc29115 </w:instrText>
      </w:r>
      <w:r>
        <w:fldChar w:fldCharType="separate"/>
      </w:r>
      <w:r>
        <w:t>7</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_Toc8596 </w:instrText>
      </w:r>
      <w:r>
        <w:rPr>
          <w:rFonts w:hint="eastAsia" w:ascii="宋体" w:hAnsi="宋体" w:cs="宋体"/>
          <w:szCs w:val="21"/>
        </w:rPr>
        <w:fldChar w:fldCharType="separate"/>
      </w:r>
      <w:r>
        <w:rPr>
          <w:rFonts w:hint="eastAsia"/>
        </w:rPr>
        <w:t>第二章招标文件</w:t>
      </w:r>
      <w:r>
        <w:tab/>
      </w:r>
      <w:r>
        <w:fldChar w:fldCharType="begin"/>
      </w:r>
      <w:r>
        <w:instrText xml:space="preserve"> PAGEREF _Toc8596 </w:instrText>
      </w:r>
      <w:r>
        <w:fldChar w:fldCharType="separate"/>
      </w:r>
      <w:r>
        <w:t>9</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_Toc9993 </w:instrText>
      </w:r>
      <w:r>
        <w:rPr>
          <w:rFonts w:hint="eastAsia" w:ascii="宋体" w:hAnsi="宋体" w:cs="宋体"/>
          <w:szCs w:val="21"/>
        </w:rPr>
        <w:fldChar w:fldCharType="separate"/>
      </w:r>
      <w:r>
        <w:rPr>
          <w:rFonts w:hint="eastAsia"/>
        </w:rPr>
        <w:t>第三章投标文件的编制</w:t>
      </w:r>
      <w:r>
        <w:tab/>
      </w:r>
      <w:r>
        <w:fldChar w:fldCharType="begin"/>
      </w:r>
      <w:r>
        <w:instrText xml:space="preserve"> PAGEREF _Toc9993 </w:instrText>
      </w:r>
      <w:r>
        <w:fldChar w:fldCharType="separate"/>
      </w:r>
      <w:r>
        <w:t>11</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_Toc15769 </w:instrText>
      </w:r>
      <w:r>
        <w:rPr>
          <w:rFonts w:hint="eastAsia" w:ascii="宋体" w:hAnsi="宋体" w:cs="宋体"/>
          <w:szCs w:val="21"/>
        </w:rPr>
        <w:fldChar w:fldCharType="separate"/>
      </w:r>
      <w:r>
        <w:rPr>
          <w:rFonts w:hint="eastAsia"/>
        </w:rPr>
        <w:t>第四章投标文件的递交</w:t>
      </w:r>
      <w:r>
        <w:tab/>
      </w:r>
      <w:r>
        <w:fldChar w:fldCharType="begin"/>
      </w:r>
      <w:r>
        <w:instrText xml:space="preserve"> PAGEREF _Toc15769 </w:instrText>
      </w:r>
      <w:r>
        <w:fldChar w:fldCharType="separate"/>
      </w:r>
      <w:r>
        <w:t>12</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_Toc4942 </w:instrText>
      </w:r>
      <w:r>
        <w:rPr>
          <w:rFonts w:hint="eastAsia" w:ascii="宋体" w:hAnsi="宋体" w:cs="宋体"/>
          <w:szCs w:val="21"/>
        </w:rPr>
        <w:fldChar w:fldCharType="separate"/>
      </w:r>
      <w:r>
        <w:rPr>
          <w:rFonts w:hint="eastAsia"/>
        </w:rPr>
        <w:t>第五章开标</w:t>
      </w:r>
      <w:r>
        <w:tab/>
      </w:r>
      <w:r>
        <w:fldChar w:fldCharType="begin"/>
      </w:r>
      <w:r>
        <w:instrText xml:space="preserve"> PAGEREF _Toc4942 </w:instrText>
      </w:r>
      <w:r>
        <w:fldChar w:fldCharType="separate"/>
      </w:r>
      <w:r>
        <w:t>14</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_Toc23404 </w:instrText>
      </w:r>
      <w:r>
        <w:rPr>
          <w:rFonts w:hint="eastAsia" w:ascii="宋体" w:hAnsi="宋体" w:cs="宋体"/>
          <w:szCs w:val="21"/>
        </w:rPr>
        <w:fldChar w:fldCharType="separate"/>
      </w:r>
      <w:r>
        <w:rPr>
          <w:rFonts w:hint="eastAsia"/>
        </w:rPr>
        <w:t>第六章评标</w:t>
      </w:r>
      <w:r>
        <w:tab/>
      </w:r>
      <w:r>
        <w:fldChar w:fldCharType="begin"/>
      </w:r>
      <w:r>
        <w:instrText xml:space="preserve"> PAGEREF _Toc23404 </w:instrText>
      </w:r>
      <w:r>
        <w:fldChar w:fldCharType="separate"/>
      </w:r>
      <w:r>
        <w:t>14</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_Toc9999 </w:instrText>
      </w:r>
      <w:r>
        <w:rPr>
          <w:rFonts w:hint="eastAsia" w:ascii="宋体" w:hAnsi="宋体" w:cs="宋体"/>
          <w:szCs w:val="21"/>
        </w:rPr>
        <w:fldChar w:fldCharType="separate"/>
      </w:r>
      <w:r>
        <w:rPr>
          <w:rFonts w:hint="eastAsia"/>
        </w:rPr>
        <w:t>第七章评审程序及评标方法</w:t>
      </w:r>
      <w:r>
        <w:tab/>
      </w:r>
      <w:r>
        <w:fldChar w:fldCharType="begin"/>
      </w:r>
      <w:r>
        <w:instrText xml:space="preserve"> PAGEREF _Toc9999 </w:instrText>
      </w:r>
      <w:r>
        <w:fldChar w:fldCharType="separate"/>
      </w:r>
      <w:r>
        <w:t>15</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_Toc6435 </w:instrText>
      </w:r>
      <w:r>
        <w:rPr>
          <w:rFonts w:hint="eastAsia" w:ascii="宋体" w:hAnsi="宋体" w:cs="宋体"/>
          <w:szCs w:val="21"/>
        </w:rPr>
        <w:fldChar w:fldCharType="separate"/>
      </w:r>
      <w:r>
        <w:rPr>
          <w:rFonts w:hint="eastAsia"/>
        </w:rPr>
        <w:t>第八章公开招标失败的后续处理</w:t>
      </w:r>
      <w:r>
        <w:tab/>
      </w:r>
      <w:r>
        <w:fldChar w:fldCharType="begin"/>
      </w:r>
      <w:r>
        <w:instrText xml:space="preserve"> PAGEREF _Toc6435 </w:instrText>
      </w:r>
      <w:r>
        <w:fldChar w:fldCharType="separate"/>
      </w:r>
      <w:r>
        <w:t>18</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_Toc16670 </w:instrText>
      </w:r>
      <w:r>
        <w:rPr>
          <w:rFonts w:hint="eastAsia" w:ascii="宋体" w:hAnsi="宋体" w:cs="宋体"/>
          <w:szCs w:val="21"/>
        </w:rPr>
        <w:fldChar w:fldCharType="separate"/>
      </w:r>
      <w:r>
        <w:rPr>
          <w:rFonts w:hint="eastAsia"/>
        </w:rPr>
        <w:t>第九章合同的授予</w:t>
      </w:r>
      <w:r>
        <w:tab/>
      </w:r>
      <w:r>
        <w:fldChar w:fldCharType="begin"/>
      </w:r>
      <w:r>
        <w:instrText xml:space="preserve"> PAGEREF _Toc16670 </w:instrText>
      </w:r>
      <w:r>
        <w:fldChar w:fldCharType="separate"/>
      </w:r>
      <w:r>
        <w:t>20</w:t>
      </w:r>
      <w:r>
        <w:fldChar w:fldCharType="end"/>
      </w:r>
      <w:r>
        <w:rPr>
          <w:rFonts w:hint="eastAsia" w:ascii="宋体" w:hAnsi="宋体" w:cs="宋体"/>
          <w:szCs w:val="21"/>
        </w:rPr>
        <w:fldChar w:fldCharType="end"/>
      </w:r>
    </w:p>
    <w:p>
      <w:pPr>
        <w:pStyle w:val="30"/>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_Toc5879 </w:instrText>
      </w:r>
      <w:r>
        <w:rPr>
          <w:rFonts w:hint="eastAsia" w:ascii="宋体" w:hAnsi="宋体" w:cs="宋体"/>
          <w:szCs w:val="21"/>
        </w:rPr>
        <w:fldChar w:fldCharType="separate"/>
      </w:r>
      <w:r>
        <w:rPr>
          <w:rFonts w:hint="eastAsia" w:eastAsia="黑体"/>
        </w:rPr>
        <w:t>第二册专用条款</w:t>
      </w:r>
      <w:r>
        <w:tab/>
      </w:r>
      <w:r>
        <w:fldChar w:fldCharType="begin"/>
      </w:r>
      <w:r>
        <w:instrText xml:space="preserve"> PAGEREF _Toc5879 </w:instrText>
      </w:r>
      <w:r>
        <w:fldChar w:fldCharType="separate"/>
      </w:r>
      <w:r>
        <w:t>23</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_Toc4800 </w:instrText>
      </w:r>
      <w:r>
        <w:rPr>
          <w:rFonts w:hint="eastAsia" w:ascii="宋体" w:hAnsi="宋体" w:cs="宋体"/>
          <w:szCs w:val="21"/>
        </w:rPr>
        <w:fldChar w:fldCharType="separate"/>
      </w:r>
      <w:r>
        <w:rPr>
          <w:rFonts w:hint="eastAsia"/>
        </w:rPr>
        <w:t>第一章招标公告</w:t>
      </w:r>
      <w:r>
        <w:tab/>
      </w:r>
      <w:r>
        <w:fldChar w:fldCharType="begin"/>
      </w:r>
      <w:r>
        <w:instrText xml:space="preserve"> PAGEREF _Toc4800 </w:instrText>
      </w:r>
      <w:r>
        <w:fldChar w:fldCharType="separate"/>
      </w:r>
      <w:r>
        <w:t>24</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_Toc13149 </w:instrText>
      </w:r>
      <w:r>
        <w:rPr>
          <w:rFonts w:hint="eastAsia" w:ascii="宋体" w:hAnsi="宋体" w:cs="宋体"/>
          <w:szCs w:val="21"/>
        </w:rPr>
        <w:fldChar w:fldCharType="separate"/>
      </w:r>
      <w:r>
        <w:rPr>
          <w:rFonts w:hint="eastAsia"/>
        </w:rPr>
        <w:t>第二章关键信息</w:t>
      </w:r>
      <w:r>
        <w:tab/>
      </w:r>
      <w:r>
        <w:fldChar w:fldCharType="begin"/>
      </w:r>
      <w:r>
        <w:instrText xml:space="preserve"> PAGEREF _Toc13149 </w:instrText>
      </w:r>
      <w:r>
        <w:fldChar w:fldCharType="separate"/>
      </w:r>
      <w:r>
        <w:t>27</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_Toc12745 </w:instrText>
      </w:r>
      <w:r>
        <w:rPr>
          <w:rFonts w:hint="eastAsia" w:ascii="宋体" w:hAnsi="宋体" w:cs="宋体"/>
          <w:szCs w:val="21"/>
        </w:rPr>
        <w:fldChar w:fldCharType="separate"/>
      </w:r>
      <w:r>
        <w:rPr>
          <w:rFonts w:hint="eastAsia" w:ascii="黑体"/>
          <w:szCs w:val="28"/>
        </w:rPr>
        <w:t>表一、投标须知前附表</w:t>
      </w:r>
      <w:r>
        <w:tab/>
      </w:r>
      <w:r>
        <w:fldChar w:fldCharType="begin"/>
      </w:r>
      <w:r>
        <w:instrText xml:space="preserve"> PAGEREF _Toc12745 </w:instrText>
      </w:r>
      <w:r>
        <w:fldChar w:fldCharType="separate"/>
      </w:r>
      <w:r>
        <w:t>27</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_Toc299 </w:instrText>
      </w:r>
      <w:r>
        <w:rPr>
          <w:rFonts w:hint="eastAsia" w:ascii="宋体" w:hAnsi="宋体" w:cs="宋体"/>
          <w:szCs w:val="21"/>
        </w:rPr>
        <w:fldChar w:fldCharType="separate"/>
      </w:r>
      <w:r>
        <w:rPr>
          <w:rFonts w:hint="eastAsia" w:ascii="黑体"/>
          <w:szCs w:val="28"/>
        </w:rPr>
        <w:t>表二、投标文件初审表</w:t>
      </w:r>
      <w:r>
        <w:tab/>
      </w:r>
      <w:r>
        <w:fldChar w:fldCharType="begin"/>
      </w:r>
      <w:r>
        <w:instrText xml:space="preserve"> PAGEREF _Toc299 </w:instrText>
      </w:r>
      <w:r>
        <w:fldChar w:fldCharType="separate"/>
      </w:r>
      <w:r>
        <w:t>29</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_Toc12489 </w:instrText>
      </w:r>
      <w:r>
        <w:rPr>
          <w:rFonts w:hint="eastAsia" w:ascii="宋体" w:hAnsi="宋体" w:cs="宋体"/>
          <w:szCs w:val="21"/>
        </w:rPr>
        <w:fldChar w:fldCharType="separate"/>
      </w:r>
      <w:r>
        <w:rPr>
          <w:rFonts w:hint="eastAsia" w:ascii="黑体"/>
          <w:szCs w:val="28"/>
        </w:rPr>
        <w:t>表三、评标信息</w:t>
      </w:r>
      <w:r>
        <w:tab/>
      </w:r>
      <w:r>
        <w:fldChar w:fldCharType="begin"/>
      </w:r>
      <w:r>
        <w:instrText xml:space="preserve"> PAGEREF _Toc12489 </w:instrText>
      </w:r>
      <w:r>
        <w:fldChar w:fldCharType="separate"/>
      </w:r>
      <w:r>
        <w:t>30</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_Toc3984 </w:instrText>
      </w:r>
      <w:r>
        <w:rPr>
          <w:rFonts w:hint="eastAsia" w:ascii="宋体" w:hAnsi="宋体" w:cs="宋体"/>
          <w:szCs w:val="21"/>
        </w:rPr>
        <w:fldChar w:fldCharType="separate"/>
      </w:r>
      <w:r>
        <w:rPr>
          <w:rFonts w:hint="eastAsia"/>
        </w:rPr>
        <w:t>第三章招标项目需求</w:t>
      </w:r>
      <w:r>
        <w:tab/>
      </w:r>
      <w:r>
        <w:fldChar w:fldCharType="begin"/>
      </w:r>
      <w:r>
        <w:instrText xml:space="preserve"> PAGEREF _Toc3984 </w:instrText>
      </w:r>
      <w:r>
        <w:fldChar w:fldCharType="separate"/>
      </w:r>
      <w:r>
        <w:t>36</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_Toc5512 </w:instrText>
      </w:r>
      <w:r>
        <w:rPr>
          <w:rFonts w:hint="eastAsia" w:ascii="宋体" w:hAnsi="宋体" w:cs="宋体"/>
          <w:szCs w:val="21"/>
        </w:rPr>
        <w:fldChar w:fldCharType="separate"/>
      </w:r>
      <w:r>
        <w:rPr>
          <w:rFonts w:hint="eastAsia"/>
          <w:szCs w:val="24"/>
        </w:rPr>
        <w:t>一、实质性条款（不可负偏离条款）</w:t>
      </w:r>
      <w:r>
        <w:tab/>
      </w:r>
      <w:r>
        <w:fldChar w:fldCharType="begin"/>
      </w:r>
      <w:r>
        <w:instrText xml:space="preserve"> PAGEREF _Toc5512 </w:instrText>
      </w:r>
      <w:r>
        <w:fldChar w:fldCharType="separate"/>
      </w:r>
      <w:r>
        <w:t>38</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_Toc6954 </w:instrText>
      </w:r>
      <w:r>
        <w:rPr>
          <w:rFonts w:hint="eastAsia" w:ascii="宋体" w:hAnsi="宋体" w:cs="宋体"/>
          <w:szCs w:val="21"/>
        </w:rPr>
        <w:fldChar w:fldCharType="separate"/>
      </w:r>
      <w:r>
        <w:rPr>
          <w:rFonts w:hint="eastAsia"/>
          <w:szCs w:val="24"/>
        </w:rPr>
        <w:t>二、项目概况</w:t>
      </w:r>
      <w:r>
        <w:tab/>
      </w:r>
      <w:r>
        <w:fldChar w:fldCharType="begin"/>
      </w:r>
      <w:r>
        <w:instrText xml:space="preserve"> PAGEREF _Toc6954 </w:instrText>
      </w:r>
      <w:r>
        <w:fldChar w:fldCharType="separate"/>
      </w:r>
      <w:r>
        <w:t>38</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_Toc2134 </w:instrText>
      </w:r>
      <w:r>
        <w:rPr>
          <w:rFonts w:hint="eastAsia" w:ascii="宋体" w:hAnsi="宋体" w:cs="宋体"/>
          <w:szCs w:val="21"/>
        </w:rPr>
        <w:fldChar w:fldCharType="separate"/>
      </w:r>
      <w:r>
        <w:rPr>
          <w:rFonts w:hint="eastAsia"/>
          <w:szCs w:val="24"/>
        </w:rPr>
        <w:t>三、项目技术要求</w:t>
      </w:r>
      <w:r>
        <w:tab/>
      </w:r>
      <w:r>
        <w:fldChar w:fldCharType="begin"/>
      </w:r>
      <w:r>
        <w:instrText xml:space="preserve"> PAGEREF _Toc2134 </w:instrText>
      </w:r>
      <w:r>
        <w:fldChar w:fldCharType="separate"/>
      </w:r>
      <w:r>
        <w:t>38</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_Toc14471 </w:instrText>
      </w:r>
      <w:r>
        <w:rPr>
          <w:rFonts w:hint="eastAsia" w:ascii="宋体" w:hAnsi="宋体" w:cs="宋体"/>
          <w:szCs w:val="21"/>
        </w:rPr>
        <w:fldChar w:fldCharType="separate"/>
      </w:r>
      <w:r>
        <w:rPr>
          <w:rFonts w:hint="eastAsia" w:ascii="宋体" w:hAnsi="宋体" w:cs="宋体"/>
          <w:szCs w:val="21"/>
        </w:rPr>
        <w:t>（一）</w:t>
      </w:r>
      <w:r>
        <w:rPr>
          <w:rFonts w:hint="eastAsia" w:ascii="宋体" w:hAnsi="宋体" w:cs="宋体"/>
          <w:kern w:val="0"/>
          <w:szCs w:val="21"/>
        </w:rPr>
        <w:t>服务人员要求</w:t>
      </w:r>
      <w:r>
        <w:tab/>
      </w:r>
      <w:r>
        <w:fldChar w:fldCharType="begin"/>
      </w:r>
      <w:r>
        <w:instrText xml:space="preserve"> PAGEREF _Toc14471 </w:instrText>
      </w:r>
      <w:r>
        <w:fldChar w:fldCharType="separate"/>
      </w:r>
      <w:r>
        <w:t>38</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_Toc11014 </w:instrText>
      </w:r>
      <w:r>
        <w:rPr>
          <w:rFonts w:hint="eastAsia" w:ascii="宋体" w:hAnsi="宋体" w:cs="宋体"/>
          <w:szCs w:val="21"/>
        </w:rPr>
        <w:fldChar w:fldCharType="separate"/>
      </w:r>
      <w:r>
        <w:rPr>
          <w:rFonts w:hint="eastAsia" w:ascii="宋体" w:hAnsi="宋体" w:cs="宋体"/>
          <w:szCs w:val="21"/>
        </w:rPr>
        <w:t>（二）工作质量要求</w:t>
      </w:r>
      <w:r>
        <w:tab/>
      </w:r>
      <w:r>
        <w:fldChar w:fldCharType="begin"/>
      </w:r>
      <w:r>
        <w:instrText xml:space="preserve"> PAGEREF _Toc11014 </w:instrText>
      </w:r>
      <w:r>
        <w:fldChar w:fldCharType="separate"/>
      </w:r>
      <w:r>
        <w:t>38</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_Toc19397 </w:instrText>
      </w:r>
      <w:r>
        <w:rPr>
          <w:rFonts w:hint="eastAsia" w:ascii="宋体" w:hAnsi="宋体" w:cs="宋体"/>
          <w:szCs w:val="21"/>
        </w:rPr>
        <w:fldChar w:fldCharType="separate"/>
      </w:r>
      <w:r>
        <w:rPr>
          <w:rFonts w:hint="eastAsia" w:ascii="宋体" w:hAnsi="宋体" w:cs="宋体"/>
          <w:szCs w:val="21"/>
        </w:rPr>
        <w:t>（三）服务成果要求</w:t>
      </w:r>
      <w:r>
        <w:tab/>
      </w:r>
      <w:r>
        <w:fldChar w:fldCharType="begin"/>
      </w:r>
      <w:r>
        <w:instrText xml:space="preserve"> PAGEREF _Toc19397 </w:instrText>
      </w:r>
      <w:r>
        <w:fldChar w:fldCharType="separate"/>
      </w:r>
      <w:r>
        <w:t>38</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_Toc15494 </w:instrText>
      </w:r>
      <w:r>
        <w:rPr>
          <w:rFonts w:hint="eastAsia" w:ascii="宋体" w:hAnsi="宋体" w:cs="宋体"/>
          <w:szCs w:val="21"/>
        </w:rPr>
        <w:fldChar w:fldCharType="separate"/>
      </w:r>
      <w:r>
        <w:rPr>
          <w:rFonts w:hint="eastAsia" w:ascii="宋体" w:hAnsi="宋体" w:cs="宋体"/>
          <w:szCs w:val="21"/>
        </w:rPr>
        <w:t>（四）服务内容</w:t>
      </w:r>
      <w:r>
        <w:rPr>
          <w:rFonts w:ascii="宋体" w:hAnsi="宋体" w:cs="宋体"/>
          <w:szCs w:val="21"/>
        </w:rPr>
        <w:t>要求</w:t>
      </w:r>
      <w:r>
        <w:tab/>
      </w:r>
      <w:r>
        <w:fldChar w:fldCharType="begin"/>
      </w:r>
      <w:r>
        <w:instrText xml:space="preserve"> PAGEREF _Toc15494 </w:instrText>
      </w:r>
      <w:r>
        <w:fldChar w:fldCharType="separate"/>
      </w:r>
      <w:r>
        <w:t>39</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_Toc32313 </w:instrText>
      </w:r>
      <w:r>
        <w:rPr>
          <w:rFonts w:hint="eastAsia" w:ascii="宋体" w:hAnsi="宋体" w:cs="宋体"/>
          <w:szCs w:val="21"/>
        </w:rPr>
        <w:fldChar w:fldCharType="separate"/>
      </w:r>
      <w:r>
        <w:rPr>
          <w:rFonts w:hint="eastAsia"/>
          <w:szCs w:val="24"/>
        </w:rPr>
        <w:t>四、项目商务要求</w:t>
      </w:r>
      <w:r>
        <w:tab/>
      </w:r>
      <w:r>
        <w:fldChar w:fldCharType="begin"/>
      </w:r>
      <w:r>
        <w:instrText xml:space="preserve"> PAGEREF _Toc32313 </w:instrText>
      </w:r>
      <w:r>
        <w:fldChar w:fldCharType="separate"/>
      </w:r>
      <w:r>
        <w:t>39</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_Toc5746 </w:instrText>
      </w:r>
      <w:r>
        <w:rPr>
          <w:rFonts w:hint="eastAsia" w:ascii="宋体" w:hAnsi="宋体" w:cs="宋体"/>
          <w:szCs w:val="21"/>
        </w:rPr>
        <w:fldChar w:fldCharType="separate"/>
      </w:r>
      <w:r>
        <w:rPr>
          <w:rFonts w:hint="eastAsia"/>
          <w:szCs w:val="24"/>
        </w:rPr>
        <w:t>五、投标报价</w:t>
      </w:r>
      <w:r>
        <w:tab/>
      </w:r>
      <w:r>
        <w:fldChar w:fldCharType="begin"/>
      </w:r>
      <w:r>
        <w:instrText xml:space="preserve"> PAGEREF _Toc5746 </w:instrText>
      </w:r>
      <w:r>
        <w:fldChar w:fldCharType="separate"/>
      </w:r>
      <w:r>
        <w:t>40</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_Toc10815 </w:instrText>
      </w:r>
      <w:r>
        <w:rPr>
          <w:rFonts w:hint="eastAsia" w:ascii="宋体" w:hAnsi="宋体" w:cs="宋体"/>
          <w:szCs w:val="21"/>
        </w:rPr>
        <w:fldChar w:fldCharType="separate"/>
      </w:r>
      <w:r>
        <w:rPr>
          <w:rFonts w:hint="eastAsia"/>
        </w:rPr>
        <w:t>第四章合同条款及格式</w:t>
      </w:r>
      <w:r>
        <w:tab/>
      </w:r>
      <w:r>
        <w:fldChar w:fldCharType="begin"/>
      </w:r>
      <w:r>
        <w:instrText xml:space="preserve"> PAGEREF _Toc10815 </w:instrText>
      </w:r>
      <w:r>
        <w:fldChar w:fldCharType="separate"/>
      </w:r>
      <w:r>
        <w:t>41</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_Toc15387 </w:instrText>
      </w:r>
      <w:r>
        <w:rPr>
          <w:rFonts w:hint="eastAsia" w:ascii="宋体" w:hAnsi="宋体" w:cs="宋体"/>
          <w:szCs w:val="21"/>
        </w:rPr>
        <w:fldChar w:fldCharType="separate"/>
      </w:r>
      <w:r>
        <w:rPr>
          <w:rFonts w:hint="eastAsia"/>
        </w:rPr>
        <w:t>第五章投标文件的格式、附件</w:t>
      </w:r>
      <w:r>
        <w:tab/>
      </w:r>
      <w:r>
        <w:fldChar w:fldCharType="begin"/>
      </w:r>
      <w:r>
        <w:instrText xml:space="preserve"> PAGEREF _Toc15387 </w:instrText>
      </w:r>
      <w:r>
        <w:fldChar w:fldCharType="separate"/>
      </w:r>
      <w:r>
        <w:t>43</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_Toc13992 </w:instrText>
      </w:r>
      <w:r>
        <w:rPr>
          <w:rFonts w:hint="eastAsia" w:ascii="宋体" w:hAnsi="宋体" w:cs="宋体"/>
          <w:szCs w:val="21"/>
        </w:rPr>
        <w:fldChar w:fldCharType="separate"/>
      </w:r>
      <w:r>
        <w:rPr>
          <w:rFonts w:hint="eastAsia" w:ascii="黑体"/>
          <w:szCs w:val="28"/>
        </w:rPr>
        <w:t>开标一览表</w:t>
      </w:r>
      <w:r>
        <w:tab/>
      </w:r>
      <w:r>
        <w:fldChar w:fldCharType="begin"/>
      </w:r>
      <w:r>
        <w:instrText xml:space="preserve"> PAGEREF _Toc13992 </w:instrText>
      </w:r>
      <w:r>
        <w:fldChar w:fldCharType="separate"/>
      </w:r>
      <w:r>
        <w:t>45</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_Toc11986 </w:instrText>
      </w:r>
      <w:r>
        <w:rPr>
          <w:rFonts w:hint="eastAsia" w:ascii="宋体" w:hAnsi="宋体" w:cs="宋体"/>
          <w:szCs w:val="21"/>
        </w:rPr>
        <w:fldChar w:fldCharType="separate"/>
      </w:r>
      <w:r>
        <w:rPr>
          <w:rFonts w:hint="eastAsia" w:ascii="黑体"/>
          <w:szCs w:val="28"/>
        </w:rPr>
        <w:t>一、评标指引表</w:t>
      </w:r>
      <w:r>
        <w:tab/>
      </w:r>
      <w:r>
        <w:fldChar w:fldCharType="begin"/>
      </w:r>
      <w:r>
        <w:instrText xml:space="preserve"> PAGEREF _Toc11986 </w:instrText>
      </w:r>
      <w:r>
        <w:fldChar w:fldCharType="separate"/>
      </w:r>
      <w:r>
        <w:t>47</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_Toc26196 </w:instrText>
      </w:r>
      <w:r>
        <w:rPr>
          <w:rFonts w:hint="eastAsia" w:ascii="宋体" w:hAnsi="宋体" w:cs="宋体"/>
          <w:szCs w:val="21"/>
        </w:rPr>
        <w:fldChar w:fldCharType="separate"/>
      </w:r>
      <w:r>
        <w:rPr>
          <w:rFonts w:hint="eastAsia" w:ascii="黑体"/>
          <w:szCs w:val="28"/>
        </w:rPr>
        <w:t>二、承诺函</w:t>
      </w:r>
      <w:r>
        <w:tab/>
      </w:r>
      <w:r>
        <w:fldChar w:fldCharType="begin"/>
      </w:r>
      <w:r>
        <w:instrText xml:space="preserve"> PAGEREF _Toc26196 </w:instrText>
      </w:r>
      <w:r>
        <w:fldChar w:fldCharType="separate"/>
      </w:r>
      <w:r>
        <w:t>49</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_Toc6519 </w:instrText>
      </w:r>
      <w:r>
        <w:rPr>
          <w:rFonts w:hint="eastAsia" w:ascii="宋体" w:hAnsi="宋体" w:cs="宋体"/>
          <w:szCs w:val="21"/>
        </w:rPr>
        <w:fldChar w:fldCharType="separate"/>
      </w:r>
      <w:r>
        <w:rPr>
          <w:rFonts w:hint="eastAsia" w:ascii="黑体"/>
          <w:szCs w:val="28"/>
        </w:rPr>
        <w:t>三、法定代表人资格证明书</w:t>
      </w:r>
      <w:r>
        <w:tab/>
      </w:r>
      <w:r>
        <w:fldChar w:fldCharType="begin"/>
      </w:r>
      <w:r>
        <w:instrText xml:space="preserve"> PAGEREF _Toc6519 </w:instrText>
      </w:r>
      <w:r>
        <w:fldChar w:fldCharType="separate"/>
      </w:r>
      <w:r>
        <w:t>52</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_Toc1544 </w:instrText>
      </w:r>
      <w:r>
        <w:rPr>
          <w:rFonts w:hint="eastAsia" w:ascii="宋体" w:hAnsi="宋体" w:cs="宋体"/>
          <w:szCs w:val="21"/>
        </w:rPr>
        <w:fldChar w:fldCharType="separate"/>
      </w:r>
      <w:r>
        <w:rPr>
          <w:rFonts w:hint="eastAsia" w:ascii="黑体"/>
          <w:szCs w:val="28"/>
        </w:rPr>
        <w:t>四、法定代表人授权书</w:t>
      </w:r>
      <w:r>
        <w:tab/>
      </w:r>
      <w:r>
        <w:fldChar w:fldCharType="begin"/>
      </w:r>
      <w:r>
        <w:instrText xml:space="preserve"> PAGEREF _Toc1544 </w:instrText>
      </w:r>
      <w:r>
        <w:fldChar w:fldCharType="separate"/>
      </w:r>
      <w:r>
        <w:t>53</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_Toc13723 </w:instrText>
      </w:r>
      <w:r>
        <w:rPr>
          <w:rFonts w:hint="eastAsia" w:ascii="宋体" w:hAnsi="宋体" w:cs="宋体"/>
          <w:szCs w:val="21"/>
        </w:rPr>
        <w:fldChar w:fldCharType="separate"/>
      </w:r>
      <w:r>
        <w:rPr>
          <w:rFonts w:hint="eastAsia" w:ascii="黑体"/>
          <w:szCs w:val="28"/>
        </w:rPr>
        <w:t>五、投标函</w:t>
      </w:r>
      <w:r>
        <w:tab/>
      </w:r>
      <w:r>
        <w:fldChar w:fldCharType="begin"/>
      </w:r>
      <w:r>
        <w:instrText xml:space="preserve"> PAGEREF _Toc13723 </w:instrText>
      </w:r>
      <w:r>
        <w:fldChar w:fldCharType="separate"/>
      </w:r>
      <w:r>
        <w:t>54</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_Toc29050 </w:instrText>
      </w:r>
      <w:r>
        <w:rPr>
          <w:rFonts w:hint="eastAsia" w:ascii="宋体" w:hAnsi="宋体" w:cs="宋体"/>
          <w:szCs w:val="21"/>
        </w:rPr>
        <w:fldChar w:fldCharType="separate"/>
      </w:r>
      <w:r>
        <w:rPr>
          <w:rFonts w:hint="eastAsia" w:ascii="黑体"/>
          <w:szCs w:val="28"/>
        </w:rPr>
        <w:t>六、开标一览表</w:t>
      </w:r>
      <w:r>
        <w:tab/>
      </w:r>
      <w:r>
        <w:fldChar w:fldCharType="begin"/>
      </w:r>
      <w:r>
        <w:instrText xml:space="preserve"> PAGEREF _Toc29050 </w:instrText>
      </w:r>
      <w:r>
        <w:fldChar w:fldCharType="separate"/>
      </w:r>
      <w:r>
        <w:t>55</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_Toc7876 </w:instrText>
      </w:r>
      <w:r>
        <w:rPr>
          <w:rFonts w:hint="eastAsia" w:ascii="宋体" w:hAnsi="宋体" w:cs="宋体"/>
          <w:szCs w:val="21"/>
        </w:rPr>
        <w:fldChar w:fldCharType="separate"/>
      </w:r>
      <w:r>
        <w:rPr>
          <w:rFonts w:hint="eastAsia" w:ascii="黑体"/>
          <w:szCs w:val="28"/>
        </w:rPr>
        <w:t>七、分项报价清单表</w:t>
      </w:r>
      <w:r>
        <w:tab/>
      </w:r>
      <w:r>
        <w:fldChar w:fldCharType="begin"/>
      </w:r>
      <w:r>
        <w:instrText xml:space="preserve"> PAGEREF _Toc7876 </w:instrText>
      </w:r>
      <w:r>
        <w:fldChar w:fldCharType="separate"/>
      </w:r>
      <w:r>
        <w:t>56</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_Toc29220 </w:instrText>
      </w:r>
      <w:r>
        <w:rPr>
          <w:rFonts w:hint="eastAsia" w:ascii="宋体" w:hAnsi="宋体" w:cs="宋体"/>
          <w:szCs w:val="21"/>
        </w:rPr>
        <w:fldChar w:fldCharType="separate"/>
      </w:r>
      <w:r>
        <w:rPr>
          <w:rFonts w:hint="eastAsia" w:ascii="黑体"/>
          <w:szCs w:val="28"/>
        </w:rPr>
        <w:t>八、供应商情况介绍</w:t>
      </w:r>
      <w:r>
        <w:tab/>
      </w:r>
      <w:r>
        <w:fldChar w:fldCharType="begin"/>
      </w:r>
      <w:r>
        <w:instrText xml:space="preserve"> PAGEREF _Toc29220 </w:instrText>
      </w:r>
      <w:r>
        <w:fldChar w:fldCharType="separate"/>
      </w:r>
      <w:r>
        <w:t>57</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_Toc11391 </w:instrText>
      </w:r>
      <w:r>
        <w:rPr>
          <w:rFonts w:hint="eastAsia" w:ascii="宋体" w:hAnsi="宋体" w:cs="宋体"/>
          <w:szCs w:val="21"/>
        </w:rPr>
        <w:fldChar w:fldCharType="separate"/>
      </w:r>
      <w:r>
        <w:rPr>
          <w:rFonts w:hint="eastAsia" w:ascii="黑体"/>
          <w:szCs w:val="28"/>
        </w:rPr>
        <w:t>九、项目实施方案</w:t>
      </w:r>
      <w:r>
        <w:tab/>
      </w:r>
      <w:r>
        <w:fldChar w:fldCharType="begin"/>
      </w:r>
      <w:r>
        <w:instrText xml:space="preserve"> PAGEREF _Toc11391 </w:instrText>
      </w:r>
      <w:r>
        <w:fldChar w:fldCharType="separate"/>
      </w:r>
      <w:r>
        <w:t>58</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_Toc19815 </w:instrText>
      </w:r>
      <w:r>
        <w:rPr>
          <w:rFonts w:hint="eastAsia" w:ascii="宋体" w:hAnsi="宋体" w:cs="宋体"/>
          <w:szCs w:val="21"/>
        </w:rPr>
        <w:fldChar w:fldCharType="separate"/>
      </w:r>
      <w:r>
        <w:rPr>
          <w:rFonts w:hint="eastAsia" w:ascii="黑体"/>
          <w:szCs w:val="28"/>
        </w:rPr>
        <w:t>十、服务条款偏离表</w:t>
      </w:r>
      <w:r>
        <w:tab/>
      </w:r>
      <w:r>
        <w:fldChar w:fldCharType="begin"/>
      </w:r>
      <w:r>
        <w:instrText xml:space="preserve"> PAGEREF _Toc19815 </w:instrText>
      </w:r>
      <w:r>
        <w:fldChar w:fldCharType="separate"/>
      </w:r>
      <w:r>
        <w:t>59</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_Toc29298 </w:instrText>
      </w:r>
      <w:r>
        <w:rPr>
          <w:rFonts w:hint="eastAsia" w:ascii="宋体" w:hAnsi="宋体" w:cs="宋体"/>
          <w:szCs w:val="21"/>
        </w:rPr>
        <w:fldChar w:fldCharType="separate"/>
      </w:r>
      <w:r>
        <w:rPr>
          <w:rFonts w:hint="eastAsia" w:ascii="宋体" w:hAnsi="宋体" w:cs="宋体"/>
          <w:szCs w:val="21"/>
        </w:rPr>
        <w:t>（一）</w:t>
      </w:r>
      <w:r>
        <w:rPr>
          <w:rFonts w:hint="eastAsia" w:ascii="宋体" w:hAnsi="宋体" w:cs="宋体"/>
          <w:kern w:val="0"/>
          <w:szCs w:val="21"/>
        </w:rPr>
        <w:t>服务人员要求</w:t>
      </w:r>
      <w:r>
        <w:tab/>
      </w:r>
      <w:r>
        <w:fldChar w:fldCharType="begin"/>
      </w:r>
      <w:r>
        <w:instrText xml:space="preserve"> PAGEREF _Toc29298 </w:instrText>
      </w:r>
      <w:r>
        <w:fldChar w:fldCharType="separate"/>
      </w:r>
      <w:r>
        <w:t>59</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_Toc17662 </w:instrText>
      </w:r>
      <w:r>
        <w:rPr>
          <w:rFonts w:hint="eastAsia" w:ascii="宋体" w:hAnsi="宋体" w:cs="宋体"/>
          <w:szCs w:val="21"/>
        </w:rPr>
        <w:fldChar w:fldCharType="separate"/>
      </w:r>
      <w:r>
        <w:rPr>
          <w:rFonts w:hint="eastAsia" w:ascii="宋体" w:hAnsi="宋体" w:cs="宋体"/>
          <w:szCs w:val="21"/>
        </w:rPr>
        <w:t>（二）工作质量要求</w:t>
      </w:r>
      <w:r>
        <w:tab/>
      </w:r>
      <w:r>
        <w:fldChar w:fldCharType="begin"/>
      </w:r>
      <w:r>
        <w:instrText xml:space="preserve"> PAGEREF _Toc17662 </w:instrText>
      </w:r>
      <w:r>
        <w:fldChar w:fldCharType="separate"/>
      </w:r>
      <w:r>
        <w:t>59</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_Toc15751 </w:instrText>
      </w:r>
      <w:r>
        <w:rPr>
          <w:rFonts w:hint="eastAsia" w:ascii="宋体" w:hAnsi="宋体" w:cs="宋体"/>
          <w:szCs w:val="21"/>
        </w:rPr>
        <w:fldChar w:fldCharType="separate"/>
      </w:r>
      <w:r>
        <w:rPr>
          <w:rFonts w:hint="eastAsia" w:ascii="宋体" w:hAnsi="宋体" w:cs="宋体"/>
          <w:szCs w:val="21"/>
        </w:rPr>
        <w:t>（三）服务成果要求</w:t>
      </w:r>
      <w:r>
        <w:tab/>
      </w:r>
      <w:r>
        <w:fldChar w:fldCharType="begin"/>
      </w:r>
      <w:r>
        <w:instrText xml:space="preserve"> PAGEREF _Toc15751 </w:instrText>
      </w:r>
      <w:r>
        <w:fldChar w:fldCharType="separate"/>
      </w:r>
      <w:r>
        <w:t>60</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_Toc9171 </w:instrText>
      </w:r>
      <w:r>
        <w:rPr>
          <w:rFonts w:hint="eastAsia" w:ascii="宋体" w:hAnsi="宋体" w:cs="宋体"/>
          <w:szCs w:val="21"/>
        </w:rPr>
        <w:fldChar w:fldCharType="separate"/>
      </w:r>
      <w:r>
        <w:rPr>
          <w:rFonts w:hint="eastAsia" w:ascii="宋体" w:hAnsi="宋体" w:cs="宋体"/>
          <w:szCs w:val="21"/>
        </w:rPr>
        <w:t>（四）服务内容</w:t>
      </w:r>
      <w:r>
        <w:rPr>
          <w:rFonts w:ascii="宋体" w:hAnsi="宋体" w:cs="宋体"/>
          <w:szCs w:val="21"/>
        </w:rPr>
        <w:t>要求</w:t>
      </w:r>
      <w:r>
        <w:tab/>
      </w:r>
      <w:r>
        <w:fldChar w:fldCharType="begin"/>
      </w:r>
      <w:r>
        <w:instrText xml:space="preserve"> PAGEREF _Toc9171 </w:instrText>
      </w:r>
      <w:r>
        <w:fldChar w:fldCharType="separate"/>
      </w:r>
      <w:r>
        <w:t>60</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_Toc24550 </w:instrText>
      </w:r>
      <w:r>
        <w:rPr>
          <w:rFonts w:hint="eastAsia" w:ascii="宋体" w:hAnsi="宋体" w:cs="宋体"/>
          <w:szCs w:val="21"/>
        </w:rPr>
        <w:fldChar w:fldCharType="separate"/>
      </w:r>
      <w:r>
        <w:rPr>
          <w:rFonts w:hint="eastAsia" w:ascii="黑体"/>
          <w:szCs w:val="28"/>
        </w:rPr>
        <w:t>十一、商务条款偏离表</w:t>
      </w:r>
      <w:r>
        <w:tab/>
      </w:r>
      <w:r>
        <w:fldChar w:fldCharType="begin"/>
      </w:r>
      <w:r>
        <w:instrText xml:space="preserve"> PAGEREF _Toc24550 </w:instrText>
      </w:r>
      <w:r>
        <w:fldChar w:fldCharType="separate"/>
      </w:r>
      <w:r>
        <w:t>62</w:t>
      </w:r>
      <w:r>
        <w:fldChar w:fldCharType="end"/>
      </w:r>
      <w:r>
        <w:rPr>
          <w:rFonts w:hint="eastAsia" w:ascii="宋体" w:hAnsi="宋体" w:cs="宋体"/>
          <w:szCs w:val="21"/>
        </w:rPr>
        <w:fldChar w:fldCharType="end"/>
      </w:r>
    </w:p>
    <w:p>
      <w:pPr>
        <w:pStyle w:val="22"/>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_Toc693 </w:instrText>
      </w:r>
      <w:r>
        <w:rPr>
          <w:rFonts w:hint="eastAsia" w:ascii="宋体" w:hAnsi="宋体" w:cs="宋体"/>
          <w:szCs w:val="21"/>
        </w:rPr>
        <w:fldChar w:fldCharType="separate"/>
      </w:r>
      <w:r>
        <w:rPr>
          <w:rFonts w:hint="eastAsia" w:ascii="黑体"/>
          <w:szCs w:val="28"/>
        </w:rPr>
        <w:t>十二、招标文件要求的其他内容及投标人认为需要加以说明其他内容</w:t>
      </w:r>
      <w:r>
        <w:tab/>
      </w:r>
      <w:r>
        <w:fldChar w:fldCharType="begin"/>
      </w:r>
      <w:r>
        <w:instrText xml:space="preserve"> PAGEREF _Toc693 </w:instrText>
      </w:r>
      <w:r>
        <w:fldChar w:fldCharType="separate"/>
      </w:r>
      <w:r>
        <w:t>63</w:t>
      </w:r>
      <w:r>
        <w:fldChar w:fldCharType="end"/>
      </w:r>
      <w:r>
        <w:rPr>
          <w:rFonts w:hint="eastAsia" w:ascii="宋体" w:hAnsi="宋体" w:cs="宋体"/>
          <w:szCs w:val="21"/>
        </w:rPr>
        <w:fldChar w:fldCharType="end"/>
      </w:r>
    </w:p>
    <w:p>
      <w:pPr>
        <w:pStyle w:val="34"/>
        <w:tabs>
          <w:tab w:val="right" w:leader="dot" w:pos="8306"/>
        </w:tabs>
      </w:pPr>
      <w:r>
        <w:rPr>
          <w:rFonts w:hint="eastAsia" w:ascii="宋体" w:hAnsi="宋体" w:cs="宋体"/>
          <w:szCs w:val="21"/>
        </w:rPr>
        <w:fldChar w:fldCharType="begin"/>
      </w:r>
      <w:r>
        <w:rPr>
          <w:rFonts w:hint="eastAsia" w:ascii="宋体" w:hAnsi="宋体" w:cs="宋体"/>
          <w:szCs w:val="21"/>
        </w:rPr>
        <w:instrText xml:space="preserve"> HYPERLINK \l _Toc26977 </w:instrText>
      </w:r>
      <w:r>
        <w:rPr>
          <w:rFonts w:hint="eastAsia" w:ascii="宋体" w:hAnsi="宋体" w:cs="宋体"/>
          <w:szCs w:val="21"/>
        </w:rPr>
        <w:fldChar w:fldCharType="separate"/>
      </w:r>
      <w:r>
        <w:rPr>
          <w:rFonts w:hint="eastAsia"/>
        </w:rPr>
        <w:t>第六章政府采购履约情况反馈表</w:t>
      </w:r>
      <w:r>
        <w:tab/>
      </w:r>
      <w:r>
        <w:fldChar w:fldCharType="begin"/>
      </w:r>
      <w:r>
        <w:instrText xml:space="preserve"> PAGEREF _Toc26977 </w:instrText>
      </w:r>
      <w:r>
        <w:fldChar w:fldCharType="separate"/>
      </w:r>
      <w:r>
        <w:t>66</w:t>
      </w:r>
      <w:r>
        <w:fldChar w:fldCharType="end"/>
      </w:r>
      <w:r>
        <w:rPr>
          <w:rFonts w:hint="eastAsia" w:ascii="宋体" w:hAnsi="宋体" w:cs="宋体"/>
          <w:szCs w:val="21"/>
        </w:rPr>
        <w:fldChar w:fldCharType="end"/>
      </w:r>
    </w:p>
    <w:p>
      <w:pPr>
        <w:pStyle w:val="30"/>
        <w:tabs>
          <w:tab w:val="right" w:leader="dot" w:pos="8296"/>
        </w:tabs>
        <w:rPr>
          <w:rFonts w:ascii="宋体" w:hAnsi="宋体" w:cs="宋体"/>
          <w:sz w:val="21"/>
          <w:szCs w:val="21"/>
        </w:rPr>
      </w:pPr>
      <w:r>
        <w:rPr>
          <w:rFonts w:hint="eastAsia" w:ascii="宋体" w:hAnsi="宋体" w:cs="宋体"/>
          <w:szCs w:val="21"/>
        </w:rPr>
        <w:fldChar w:fldCharType="end"/>
      </w:r>
    </w:p>
    <w:p>
      <w:pPr>
        <w:rPr>
          <w:rFonts w:ascii="宋体" w:hAnsi="宋体" w:cs="宋体"/>
          <w:szCs w:val="21"/>
        </w:rPr>
      </w:pPr>
    </w:p>
    <w:p/>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
    <w:p/>
    <w:p/>
    <w:p/>
    <w:p/>
    <w:p/>
    <w:p/>
    <w:p/>
    <w:p/>
    <w:p/>
    <w:p>
      <w:pPr>
        <w:pStyle w:val="40"/>
        <w:spacing w:before="120" w:after="120"/>
        <w:rPr>
          <w:b w:val="0"/>
        </w:rPr>
      </w:pPr>
      <w:bookmarkStart w:id="0" w:name="_Toc9883"/>
      <w:r>
        <w:rPr>
          <w:rFonts w:hint="eastAsia" w:eastAsia="黑体"/>
          <w:b w:val="0"/>
          <w:sz w:val="44"/>
        </w:rPr>
        <w:t>第一册通用条款</w:t>
      </w:r>
      <w:bookmarkEnd w:id="0"/>
    </w:p>
    <w:p/>
    <w:p/>
    <w:p/>
    <w:p/>
    <w:p/>
    <w:p>
      <w:pPr>
        <w:pStyle w:val="2"/>
      </w:pPr>
    </w:p>
    <w:p>
      <w:pPr>
        <w:pStyle w:val="2"/>
      </w:pPr>
    </w:p>
    <w:p>
      <w:pPr>
        <w:pStyle w:val="2"/>
      </w:pPr>
    </w:p>
    <w:p>
      <w:pPr>
        <w:pStyle w:val="2"/>
      </w:pPr>
    </w:p>
    <w:p>
      <w:pPr>
        <w:pStyle w:val="2"/>
      </w:pPr>
    </w:p>
    <w:p>
      <w:pPr>
        <w:pStyle w:val="2"/>
      </w:pPr>
    </w:p>
    <w:p>
      <w:pPr>
        <w:pStyle w:val="2"/>
      </w:pPr>
    </w:p>
    <w:p>
      <w:pPr>
        <w:pStyle w:val="2"/>
      </w:pPr>
    </w:p>
    <w:p/>
    <w:p/>
    <w:p/>
    <w:p/>
    <w:p/>
    <w:p>
      <w:pPr>
        <w:pStyle w:val="5"/>
        <w:spacing w:line="360" w:lineRule="auto"/>
        <w:jc w:val="center"/>
      </w:pPr>
      <w:bookmarkStart w:id="1" w:name="bt工程概况"/>
      <w:bookmarkEnd w:id="1"/>
      <w:bookmarkStart w:id="2" w:name="_Toc29115"/>
      <w:r>
        <w:rPr>
          <w:rFonts w:hint="eastAsia"/>
        </w:rPr>
        <w:t>第一章总则</w:t>
      </w:r>
      <w:bookmarkEnd w:id="2"/>
    </w:p>
    <w:p>
      <w:pPr>
        <w:snapToGrid w:val="0"/>
        <w:spacing w:line="360" w:lineRule="auto"/>
        <w:rPr>
          <w:rFonts w:ascii="黑体" w:hAnsi="宋体" w:eastAsia="黑体"/>
          <w:sz w:val="24"/>
        </w:rPr>
      </w:pPr>
      <w:bookmarkStart w:id="3" w:name="_Toc60631622"/>
      <w:bookmarkStart w:id="4" w:name="_Toc73517641"/>
      <w:bookmarkStart w:id="5" w:name="_Toc73521549"/>
      <w:bookmarkStart w:id="6" w:name="_Toc73518119"/>
      <w:bookmarkStart w:id="7" w:name="_Toc73521637"/>
      <w:bookmarkStart w:id="8" w:name="_Toc100052366"/>
      <w:bookmarkStart w:id="9" w:name="_Toc60560627"/>
      <w:r>
        <w:rPr>
          <w:rFonts w:ascii="黑体" w:hAnsi="宋体" w:eastAsia="黑体"/>
          <w:sz w:val="24"/>
        </w:rPr>
        <w:t>1．</w:t>
      </w:r>
      <w:r>
        <w:rPr>
          <w:rFonts w:hint="eastAsia" w:ascii="黑体" w:hAnsi="宋体" w:eastAsia="黑体"/>
          <w:sz w:val="24"/>
        </w:rPr>
        <w:t>招标说明</w:t>
      </w:r>
      <w:bookmarkEnd w:id="3"/>
      <w:bookmarkEnd w:id="4"/>
      <w:bookmarkEnd w:id="5"/>
      <w:bookmarkEnd w:id="6"/>
      <w:bookmarkEnd w:id="7"/>
      <w:bookmarkEnd w:id="8"/>
      <w:bookmarkEnd w:id="9"/>
    </w:p>
    <w:p>
      <w:pPr>
        <w:snapToGrid w:val="0"/>
        <w:spacing w:line="360" w:lineRule="auto"/>
        <w:ind w:firstLine="411" w:firstLineChars="196"/>
        <w:rPr>
          <w:rFonts w:ascii="宋体" w:hAnsi="宋体"/>
          <w:szCs w:val="21"/>
        </w:rPr>
      </w:pPr>
      <w:r>
        <w:rPr>
          <w:rFonts w:hint="eastAsia" w:ascii="宋体" w:hAnsi="宋体"/>
          <w:szCs w:val="21"/>
        </w:rPr>
        <w:t>本项目按照</w:t>
      </w:r>
      <w:r>
        <w:rPr>
          <w:rFonts w:ascii="宋体" w:hAnsi="宋体" w:cs="宋体"/>
          <w:kern w:val="0"/>
          <w:szCs w:val="21"/>
        </w:rPr>
        <w:t>《深圳经济特区政府采购条例》</w:t>
      </w:r>
      <w:r>
        <w:rPr>
          <w:rFonts w:hint="eastAsia" w:ascii="宋体" w:hAnsi="宋体" w:cs="宋体"/>
          <w:kern w:val="0"/>
          <w:szCs w:val="21"/>
        </w:rPr>
        <w:t>、</w:t>
      </w:r>
      <w:r>
        <w:rPr>
          <w:rFonts w:ascii="宋体" w:hAnsi="宋体" w:cs="宋体"/>
          <w:kern w:val="0"/>
          <w:szCs w:val="21"/>
        </w:rPr>
        <w:t>《深圳经济特区政府采购条例实施细则》</w:t>
      </w:r>
      <w:r>
        <w:rPr>
          <w:rFonts w:hint="eastAsia" w:ascii="宋体" w:hAnsi="宋体"/>
          <w:szCs w:val="21"/>
        </w:rPr>
        <w:t>的规定，并参考有关法规、政策、规章、规定，通过公开招标择优选定供应商。</w:t>
      </w:r>
    </w:p>
    <w:p>
      <w:pPr>
        <w:snapToGrid w:val="0"/>
        <w:spacing w:line="360" w:lineRule="auto"/>
        <w:ind w:firstLine="411" w:firstLineChars="196"/>
        <w:rPr>
          <w:rFonts w:ascii="宋体" w:hAnsi="宋体"/>
          <w:szCs w:val="21"/>
        </w:rPr>
      </w:pPr>
      <w:r>
        <w:rPr>
          <w:rFonts w:hint="eastAsia" w:ascii="宋体" w:hAnsi="宋体"/>
          <w:szCs w:val="21"/>
        </w:rPr>
        <w:t>本招标文件适用于服务采购项目。</w:t>
      </w:r>
    </w:p>
    <w:p>
      <w:pPr>
        <w:snapToGrid w:val="0"/>
        <w:spacing w:line="360" w:lineRule="auto"/>
        <w:ind w:firstLine="411" w:firstLineChars="196"/>
        <w:rPr>
          <w:rFonts w:ascii="宋体" w:hAnsi="宋体"/>
          <w:szCs w:val="21"/>
        </w:rPr>
      </w:pPr>
      <w:r>
        <w:rPr>
          <w:rFonts w:hint="eastAsia" w:ascii="宋体" w:hAnsi="宋体"/>
          <w:szCs w:val="21"/>
        </w:rPr>
        <w:t>本招标文件的解释权归属友和保险经纪有限公司。</w:t>
      </w:r>
    </w:p>
    <w:p>
      <w:pPr>
        <w:snapToGrid w:val="0"/>
        <w:spacing w:line="360" w:lineRule="auto"/>
        <w:rPr>
          <w:rFonts w:ascii="黑体" w:hAnsi="宋体" w:eastAsia="黑体"/>
          <w:sz w:val="24"/>
        </w:rPr>
      </w:pPr>
      <w:bookmarkStart w:id="10" w:name="_Toc60560628"/>
      <w:bookmarkStart w:id="11" w:name="_Toc60631623"/>
      <w:bookmarkStart w:id="12" w:name="_Toc73518120"/>
      <w:bookmarkStart w:id="13" w:name="_Toc73521638"/>
      <w:bookmarkStart w:id="14" w:name="_Toc73521550"/>
      <w:bookmarkStart w:id="15" w:name="_Toc100052367"/>
      <w:bookmarkStart w:id="16" w:name="_Toc73517642"/>
      <w:r>
        <w:rPr>
          <w:rFonts w:ascii="黑体" w:hAnsi="宋体" w:eastAsia="黑体"/>
          <w:sz w:val="24"/>
        </w:rPr>
        <w:t>2</w:t>
      </w:r>
      <w:r>
        <w:rPr>
          <w:rFonts w:hint="eastAsia" w:ascii="黑体" w:hAnsi="宋体" w:eastAsia="黑体"/>
          <w:sz w:val="24"/>
        </w:rPr>
        <w:t>．定义</w:t>
      </w:r>
      <w:bookmarkEnd w:id="10"/>
      <w:bookmarkEnd w:id="11"/>
      <w:bookmarkEnd w:id="12"/>
      <w:bookmarkEnd w:id="13"/>
      <w:bookmarkEnd w:id="14"/>
      <w:bookmarkEnd w:id="15"/>
      <w:bookmarkEnd w:id="16"/>
    </w:p>
    <w:p>
      <w:pPr>
        <w:snapToGrid w:val="0"/>
        <w:spacing w:line="360" w:lineRule="auto"/>
        <w:ind w:firstLine="420" w:firstLineChars="200"/>
        <w:rPr>
          <w:rFonts w:ascii="宋体" w:hAnsi="宋体"/>
          <w:szCs w:val="21"/>
        </w:rPr>
      </w:pPr>
      <w:r>
        <w:rPr>
          <w:rFonts w:ascii="宋体" w:hAnsi="宋体"/>
          <w:szCs w:val="21"/>
        </w:rPr>
        <w:t>招标文件中下列术语应解释为：</w:t>
      </w:r>
    </w:p>
    <w:p>
      <w:pPr>
        <w:snapToGrid w:val="0"/>
        <w:spacing w:line="360" w:lineRule="auto"/>
        <w:ind w:firstLine="411" w:firstLineChars="196"/>
        <w:rPr>
          <w:rFonts w:ascii="宋体" w:hAnsi="宋体"/>
          <w:szCs w:val="21"/>
        </w:rPr>
      </w:pPr>
      <w:r>
        <w:rPr>
          <w:rFonts w:ascii="宋体" w:hAnsi="宋体"/>
          <w:szCs w:val="21"/>
        </w:rPr>
        <w:t>2</w:t>
      </w:r>
      <w:r>
        <w:rPr>
          <w:rFonts w:hint="eastAsia" w:ascii="宋体" w:hAnsi="宋体"/>
          <w:szCs w:val="21"/>
        </w:rPr>
        <w:t>.</w:t>
      </w:r>
      <w:r>
        <w:rPr>
          <w:rFonts w:ascii="宋体" w:hAnsi="宋体"/>
          <w:szCs w:val="21"/>
        </w:rPr>
        <w:t>1</w:t>
      </w:r>
      <w:r>
        <w:rPr>
          <w:rFonts w:hint="eastAsia" w:ascii="宋体" w:hAnsi="宋体"/>
          <w:szCs w:val="21"/>
        </w:rPr>
        <w:t xml:space="preserve"> “政府采购代理机构”、“招标机构”，系</w:t>
      </w:r>
      <w:r>
        <w:rPr>
          <w:spacing w:val="8"/>
        </w:rPr>
        <w:t>指根据采购人的委托，代理政府采购事宜的机构</w:t>
      </w:r>
      <w:r>
        <w:rPr>
          <w:rFonts w:hint="eastAsia"/>
          <w:spacing w:val="8"/>
        </w:rPr>
        <w:t>，在此特指拥有政府采购代理资格的</w:t>
      </w:r>
      <w:r>
        <w:rPr>
          <w:rFonts w:hint="eastAsia"/>
          <w:b/>
          <w:spacing w:val="8"/>
        </w:rPr>
        <w:t>友和保险经纪有限公司</w:t>
      </w:r>
      <w:r>
        <w:rPr>
          <w:rFonts w:hint="eastAsia"/>
          <w:spacing w:val="8"/>
        </w:rPr>
        <w:t>。</w:t>
      </w:r>
    </w:p>
    <w:p>
      <w:pPr>
        <w:snapToGrid w:val="0"/>
        <w:spacing w:line="360" w:lineRule="auto"/>
        <w:ind w:firstLine="411" w:firstLineChars="196"/>
        <w:rPr>
          <w:rFonts w:ascii="宋体" w:hAnsi="宋体"/>
          <w:szCs w:val="21"/>
        </w:rPr>
      </w:pPr>
      <w:r>
        <w:rPr>
          <w:rFonts w:hint="eastAsia" w:ascii="宋体" w:hAnsi="宋体"/>
          <w:szCs w:val="21"/>
        </w:rPr>
        <w:t xml:space="preserve">2.2 “采购人”、“采购单位”：系指利用财政性资金依法进行政府采购的国家机关、企事业单位、团体组织。 </w:t>
      </w:r>
    </w:p>
    <w:p>
      <w:pPr>
        <w:snapToGrid w:val="0"/>
        <w:spacing w:line="360" w:lineRule="auto"/>
        <w:ind w:firstLine="411" w:firstLineChars="196"/>
        <w:rPr>
          <w:rFonts w:ascii="宋体" w:hAnsi="宋体"/>
          <w:szCs w:val="21"/>
        </w:rPr>
      </w:pPr>
      <w:r>
        <w:rPr>
          <w:rFonts w:ascii="宋体" w:hAnsi="宋体"/>
          <w:szCs w:val="21"/>
        </w:rPr>
        <w:t>2</w:t>
      </w:r>
      <w:r>
        <w:rPr>
          <w:rFonts w:hint="eastAsia" w:ascii="宋体" w:hAnsi="宋体"/>
          <w:szCs w:val="21"/>
        </w:rPr>
        <w:t>.3 “投标人”、“投标方”，即供应商，是指愿意按照招标文件要求向采购人提供货物、工程或者服务的法人、其他组织或者自然人。</w:t>
      </w:r>
    </w:p>
    <w:p>
      <w:pPr>
        <w:snapToGrid w:val="0"/>
        <w:spacing w:line="360" w:lineRule="auto"/>
        <w:ind w:firstLine="411" w:firstLineChars="196"/>
        <w:rPr>
          <w:rFonts w:ascii="宋体" w:hAnsi="宋体"/>
          <w:szCs w:val="21"/>
        </w:rPr>
      </w:pPr>
      <w:r>
        <w:rPr>
          <w:rFonts w:ascii="宋体" w:hAnsi="宋体"/>
          <w:szCs w:val="21"/>
        </w:rPr>
        <w:t>2</w:t>
      </w:r>
      <w:r>
        <w:rPr>
          <w:rFonts w:hint="eastAsia" w:ascii="宋体" w:hAnsi="宋体"/>
          <w:szCs w:val="21"/>
        </w:rPr>
        <w:t>.4 “评审委员会”是依据《深圳经济特区政府采购条例》有关规定组建的专门负责本项目评标工作的临时性机构。</w:t>
      </w:r>
    </w:p>
    <w:p>
      <w:pPr>
        <w:snapToGrid w:val="0"/>
        <w:spacing w:line="360" w:lineRule="auto"/>
        <w:ind w:firstLine="411" w:firstLineChars="196"/>
        <w:rPr>
          <w:rFonts w:ascii="宋体" w:hAnsi="宋体"/>
          <w:szCs w:val="21"/>
        </w:rPr>
      </w:pPr>
      <w:r>
        <w:rPr>
          <w:rFonts w:ascii="宋体" w:hAnsi="宋体"/>
          <w:szCs w:val="21"/>
        </w:rPr>
        <w:t>2</w:t>
      </w:r>
      <w:r>
        <w:rPr>
          <w:rFonts w:hint="eastAsia" w:ascii="宋体" w:hAnsi="宋体"/>
          <w:szCs w:val="21"/>
        </w:rPr>
        <w:t>.5 “日期”</w:t>
      </w:r>
      <w:r>
        <w:rPr>
          <w:rFonts w:ascii="宋体" w:hAnsi="宋体"/>
          <w:szCs w:val="21"/>
        </w:rPr>
        <w:t>指</w:t>
      </w:r>
      <w:r>
        <w:rPr>
          <w:rFonts w:hint="eastAsia" w:ascii="宋体" w:hAnsi="宋体"/>
          <w:szCs w:val="21"/>
        </w:rPr>
        <w:t>公历日。</w:t>
      </w:r>
    </w:p>
    <w:p>
      <w:pPr>
        <w:snapToGrid w:val="0"/>
        <w:spacing w:line="360" w:lineRule="auto"/>
        <w:ind w:firstLine="411" w:firstLineChars="196"/>
        <w:rPr>
          <w:rFonts w:ascii="宋体" w:hAnsi="宋体"/>
          <w:szCs w:val="21"/>
        </w:rPr>
      </w:pPr>
      <w:r>
        <w:rPr>
          <w:rFonts w:hint="eastAsia" w:ascii="宋体" w:hAnsi="宋体"/>
          <w:szCs w:val="21"/>
        </w:rPr>
        <w:t>2.6 “合同”指由本次招标所产生的合同或合约文件。</w:t>
      </w:r>
    </w:p>
    <w:p>
      <w:pPr>
        <w:snapToGrid w:val="0"/>
        <w:spacing w:line="360" w:lineRule="auto"/>
        <w:ind w:firstLine="411" w:firstLineChars="196"/>
        <w:rPr>
          <w:rFonts w:ascii="宋体" w:hAnsi="宋体"/>
          <w:szCs w:val="21"/>
        </w:rPr>
      </w:pPr>
      <w:r>
        <w:rPr>
          <w:rFonts w:hint="eastAsia" w:ascii="宋体" w:hAnsi="宋体"/>
          <w:szCs w:val="21"/>
        </w:rPr>
        <w:t>2.7 “纸质投标文件”指根据本招标文件模板的要求规范填写，打印输出并盖有单位公章的投标文件原件。</w:t>
      </w:r>
    </w:p>
    <w:p>
      <w:pPr>
        <w:snapToGrid w:val="0"/>
        <w:spacing w:line="360" w:lineRule="auto"/>
        <w:ind w:firstLine="411" w:firstLineChars="196"/>
        <w:rPr>
          <w:rFonts w:ascii="宋体" w:hAnsi="宋体"/>
          <w:szCs w:val="21"/>
        </w:rPr>
      </w:pPr>
      <w:r>
        <w:rPr>
          <w:rFonts w:hint="eastAsia" w:ascii="宋体" w:hAnsi="宋体"/>
          <w:szCs w:val="21"/>
        </w:rPr>
        <w:t>2.8 “现场投标”指在规定时间内直接向政府采购代理机构（友和保险经纪有限公司）提交纸质投标文件。</w:t>
      </w:r>
    </w:p>
    <w:p>
      <w:pPr>
        <w:snapToGrid w:val="0"/>
        <w:spacing w:line="360" w:lineRule="auto"/>
        <w:ind w:firstLine="411" w:firstLineChars="196"/>
        <w:rPr>
          <w:rFonts w:ascii="宋体" w:hAnsi="宋体"/>
          <w:szCs w:val="21"/>
        </w:rPr>
      </w:pPr>
      <w:r>
        <w:rPr>
          <w:rFonts w:hint="eastAsia" w:ascii="宋体" w:hAnsi="宋体"/>
          <w:szCs w:val="21"/>
        </w:rPr>
        <w:t>2.9招标文件中的标题或题名仅起引导作用，而不应视为对招标文件内容的理解和解释。</w:t>
      </w:r>
    </w:p>
    <w:p>
      <w:pPr>
        <w:snapToGrid w:val="0"/>
        <w:spacing w:line="360" w:lineRule="auto"/>
        <w:rPr>
          <w:rFonts w:ascii="黑体" w:hAnsi="宋体" w:eastAsia="黑体"/>
          <w:sz w:val="24"/>
        </w:rPr>
      </w:pPr>
      <w:bookmarkStart w:id="17" w:name="_Toc73517643"/>
      <w:bookmarkStart w:id="18" w:name="_Toc73521639"/>
      <w:bookmarkStart w:id="19" w:name="_Toc100052368"/>
      <w:bookmarkStart w:id="20" w:name="_Toc60560629"/>
      <w:bookmarkStart w:id="21" w:name="_Toc73518121"/>
      <w:bookmarkStart w:id="22" w:name="_Toc73521551"/>
      <w:bookmarkStart w:id="23" w:name="_Toc60631624"/>
      <w:r>
        <w:rPr>
          <w:rFonts w:hint="eastAsia" w:ascii="黑体" w:hAnsi="宋体" w:eastAsia="黑体"/>
          <w:sz w:val="24"/>
        </w:rPr>
        <w:t>3．投标人的资质要求</w:t>
      </w:r>
      <w:bookmarkEnd w:id="17"/>
      <w:bookmarkEnd w:id="18"/>
      <w:bookmarkEnd w:id="19"/>
      <w:bookmarkEnd w:id="20"/>
      <w:bookmarkEnd w:id="21"/>
      <w:bookmarkEnd w:id="22"/>
      <w:bookmarkEnd w:id="23"/>
    </w:p>
    <w:p>
      <w:pPr>
        <w:snapToGrid w:val="0"/>
        <w:spacing w:line="360" w:lineRule="auto"/>
        <w:ind w:firstLine="411" w:firstLineChars="196"/>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1 参加政府采购活动投标人应当具备条件：</w:t>
      </w:r>
      <w:r>
        <w:rPr>
          <w:rFonts w:hint="eastAsia" w:ascii="宋体" w:hAnsi="宋体"/>
          <w:b/>
          <w:bCs/>
          <w:szCs w:val="21"/>
        </w:rPr>
        <w:t>见招标公告有关资质要求。</w:t>
      </w:r>
    </w:p>
    <w:p>
      <w:pPr>
        <w:snapToGrid w:val="0"/>
        <w:spacing w:line="360" w:lineRule="auto"/>
        <w:rPr>
          <w:rFonts w:ascii="黑体" w:hAnsi="宋体" w:eastAsia="黑体"/>
          <w:sz w:val="24"/>
        </w:rPr>
      </w:pPr>
      <w:bookmarkStart w:id="24" w:name="_Toc60560631"/>
      <w:bookmarkStart w:id="25" w:name="_Toc100052370"/>
      <w:bookmarkStart w:id="26" w:name="_Toc73521553"/>
      <w:bookmarkStart w:id="27" w:name="_Toc73518123"/>
      <w:bookmarkStart w:id="28" w:name="_Toc73521641"/>
      <w:bookmarkStart w:id="29" w:name="_Toc60631626"/>
      <w:bookmarkStart w:id="30" w:name="_Toc73517645"/>
      <w:r>
        <w:rPr>
          <w:rFonts w:hint="eastAsia" w:ascii="黑体" w:hAnsi="宋体" w:eastAsia="黑体"/>
          <w:sz w:val="24"/>
        </w:rPr>
        <w:t>4．联合体投标</w:t>
      </w:r>
    </w:p>
    <w:p>
      <w:pPr>
        <w:snapToGrid w:val="0"/>
        <w:spacing w:line="360" w:lineRule="auto"/>
        <w:ind w:firstLine="411" w:firstLineChars="196"/>
        <w:rPr>
          <w:rFonts w:ascii="宋体" w:hAnsi="宋体"/>
        </w:rPr>
      </w:pPr>
      <w:r>
        <w:rPr>
          <w:rFonts w:hint="eastAsia" w:ascii="宋体" w:hAnsi="宋体"/>
        </w:rPr>
        <w:t>4.1除非招标公告中允许投标人组成联合体投标，否则以下有关联合体投标的条款不予考虑。</w:t>
      </w:r>
    </w:p>
    <w:p>
      <w:pPr>
        <w:snapToGrid w:val="0"/>
        <w:spacing w:line="360" w:lineRule="auto"/>
        <w:ind w:firstLine="411" w:firstLineChars="196"/>
        <w:rPr>
          <w:rFonts w:ascii="宋体" w:hAnsi="宋体"/>
        </w:rPr>
      </w:pPr>
      <w:r>
        <w:rPr>
          <w:rFonts w:hint="eastAsia" w:ascii="宋体" w:hAnsi="宋体"/>
        </w:rPr>
        <w:t>4.2 由两个或两个以上法人组成一个联合体以一个投标人的身份共同投标时，应符合以下原则：</w:t>
      </w:r>
    </w:p>
    <w:p>
      <w:pPr>
        <w:snapToGrid w:val="0"/>
        <w:spacing w:line="360" w:lineRule="auto"/>
        <w:ind w:firstLine="411" w:firstLineChars="196"/>
        <w:rPr>
          <w:rFonts w:ascii="宋体" w:hAnsi="宋体"/>
        </w:rPr>
      </w:pPr>
      <w:r>
        <w:rPr>
          <w:rFonts w:hint="eastAsia" w:ascii="宋体" w:hAnsi="宋体"/>
        </w:rPr>
        <w:t>（1）投标联合体各方参加政府采购活动应当具备下列条件：</w:t>
      </w:r>
    </w:p>
    <w:p>
      <w:pPr>
        <w:spacing w:line="360" w:lineRule="auto"/>
        <w:ind w:firstLine="420" w:firstLineChars="200"/>
      </w:pPr>
      <w:r>
        <w:rPr>
          <w:rFonts w:hint="eastAsia"/>
        </w:rPr>
        <w:t>①具有独立承担民事责任的能力；</w:t>
      </w:r>
    </w:p>
    <w:p>
      <w:pPr>
        <w:spacing w:line="360" w:lineRule="auto"/>
        <w:ind w:firstLine="420" w:firstLineChars="200"/>
      </w:pPr>
      <w:r>
        <w:rPr>
          <w:rFonts w:hint="eastAsia"/>
        </w:rPr>
        <w:t>②有良好的商业信誉和健全的财务会计制度；</w:t>
      </w:r>
    </w:p>
    <w:p>
      <w:pPr>
        <w:spacing w:line="360" w:lineRule="auto"/>
        <w:ind w:firstLine="420" w:firstLineChars="200"/>
      </w:pPr>
      <w:r>
        <w:rPr>
          <w:rFonts w:hint="eastAsia"/>
        </w:rPr>
        <w:t>③具有履行合同所必需的产品和专业技术能力；</w:t>
      </w:r>
    </w:p>
    <w:p>
      <w:pPr>
        <w:spacing w:line="360" w:lineRule="auto"/>
        <w:ind w:firstLine="420" w:firstLineChars="200"/>
      </w:pPr>
      <w:r>
        <w:rPr>
          <w:rFonts w:hint="eastAsia"/>
        </w:rPr>
        <w:t>④有依法缴纳税收和社会保障资金的良好记录；</w:t>
      </w:r>
    </w:p>
    <w:p>
      <w:pPr>
        <w:spacing w:line="360" w:lineRule="auto"/>
        <w:ind w:firstLine="420" w:firstLineChars="200"/>
      </w:pPr>
      <w:r>
        <w:rPr>
          <w:rFonts w:hint="eastAsia"/>
        </w:rPr>
        <w:t>⑤参加政府采购活动前三年内，在经营活动中没有重大违法记录；</w:t>
      </w:r>
    </w:p>
    <w:p>
      <w:pPr>
        <w:spacing w:line="360" w:lineRule="auto"/>
        <w:ind w:firstLine="420" w:firstLineChars="200"/>
      </w:pPr>
      <w:r>
        <w:rPr>
          <w:rFonts w:hint="eastAsia"/>
        </w:rPr>
        <w:t>⑥法律、行政法规规定的其他条件。</w:t>
      </w:r>
    </w:p>
    <w:p>
      <w:pPr>
        <w:snapToGrid w:val="0"/>
        <w:spacing w:line="360" w:lineRule="auto"/>
        <w:ind w:firstLine="411" w:firstLineChars="196"/>
        <w:rPr>
          <w:rFonts w:ascii="宋体" w:hAnsi="宋体"/>
        </w:rPr>
      </w:pPr>
      <w:r>
        <w:rPr>
          <w:rFonts w:hint="eastAsia" w:ascii="宋体" w:hAnsi="宋体"/>
        </w:rPr>
        <w:t>（2）投标联合体各方必须有一方先行注册成深圳市网上政府采购供应商（以招标公告为准）；</w:t>
      </w:r>
    </w:p>
    <w:p>
      <w:pPr>
        <w:snapToGrid w:val="0"/>
        <w:spacing w:line="360" w:lineRule="auto"/>
        <w:ind w:firstLine="411" w:firstLineChars="196"/>
        <w:rPr>
          <w:rFonts w:ascii="宋体" w:hAnsi="宋体"/>
        </w:rPr>
      </w:pPr>
      <w:r>
        <w:rPr>
          <w:rFonts w:hint="eastAsia" w:ascii="宋体" w:hAnsi="宋体"/>
        </w:rPr>
        <w:t>（3）对于招标公告中所要求投标人应具有的某一资质，若联合体各方均具有，则将以联合体各方中最低的资质等级作为联合体在这一资质条件上的资质等级；联合体各方的不同资质可优势互补。</w:t>
      </w:r>
    </w:p>
    <w:p>
      <w:pPr>
        <w:snapToGrid w:val="0"/>
        <w:spacing w:line="360" w:lineRule="auto"/>
        <w:ind w:firstLine="411" w:firstLineChars="196"/>
        <w:rPr>
          <w:rFonts w:ascii="宋体" w:hAnsi="宋体"/>
        </w:rPr>
      </w:pPr>
      <w:r>
        <w:rPr>
          <w:rFonts w:hint="eastAsia" w:ascii="宋体" w:hAnsi="宋体"/>
        </w:rPr>
        <w:t>（4）投标人的投标文件及中标后签署的合同协议对联合体各方均具法律约束力；</w:t>
      </w:r>
    </w:p>
    <w:p>
      <w:pPr>
        <w:snapToGrid w:val="0"/>
        <w:spacing w:line="360" w:lineRule="auto"/>
        <w:ind w:firstLine="411" w:firstLineChars="196"/>
        <w:rPr>
          <w:rFonts w:ascii="宋体" w:hAnsi="宋体"/>
        </w:rPr>
      </w:pPr>
      <w:r>
        <w:rPr>
          <w:rFonts w:hint="eastAsia" w:ascii="宋体" w:hAnsi="宋体"/>
        </w:rPr>
        <w:t>（5）联合体各方应当签订共同投标协议，明确约定各方拟承担的工作和责任，并将该共同投标协议随投标文件一并递交给政府采购代理机构；</w:t>
      </w:r>
    </w:p>
    <w:p>
      <w:pPr>
        <w:snapToGrid w:val="0"/>
        <w:spacing w:line="360" w:lineRule="auto"/>
        <w:ind w:firstLine="411" w:firstLineChars="196"/>
        <w:rPr>
          <w:rFonts w:ascii="宋体" w:hAnsi="宋体"/>
        </w:rPr>
      </w:pPr>
      <w:r>
        <w:rPr>
          <w:rFonts w:hint="eastAsia" w:ascii="宋体" w:hAnsi="宋体"/>
        </w:rPr>
        <w:t>（6）联合体中标后，联合体各方应当共同与采购单位签订合同，就中标项目向采购单位承担连带责任；</w:t>
      </w:r>
    </w:p>
    <w:p>
      <w:pPr>
        <w:snapToGrid w:val="0"/>
        <w:spacing w:line="360" w:lineRule="auto"/>
        <w:ind w:firstLine="411" w:firstLineChars="196"/>
        <w:rPr>
          <w:rFonts w:ascii="宋体" w:hAnsi="宋体"/>
        </w:rPr>
      </w:pPr>
      <w:r>
        <w:rPr>
          <w:rFonts w:hint="eastAsia" w:ascii="宋体" w:hAnsi="宋体"/>
        </w:rPr>
        <w:t>（7）联合体的各方应当共同推荐一联合体投标授权代表人，由联合体各方提交一份授权书，证明其有资格代表联合体各方签署投标文件，该授权书作为投标文件的组成部分一并提交给政府采购代理机构；</w:t>
      </w:r>
    </w:p>
    <w:p>
      <w:pPr>
        <w:snapToGrid w:val="0"/>
        <w:spacing w:line="360" w:lineRule="auto"/>
        <w:ind w:firstLine="411" w:firstLineChars="196"/>
        <w:rPr>
          <w:rFonts w:ascii="宋体" w:hAnsi="宋体"/>
        </w:rPr>
      </w:pPr>
      <w:r>
        <w:rPr>
          <w:rFonts w:hint="eastAsia" w:ascii="宋体" w:hAnsi="宋体"/>
        </w:rPr>
        <w:t>（8）参加联合体的各方不得再以自己的名义单独投标，不得同时参加两个或两个以上的联合体投标、不得以分包商或其它形式参与投标，出现上述情况者，其投标和与此有关联合体、总包单位的投标将被拒绝；</w:t>
      </w:r>
    </w:p>
    <w:p>
      <w:pPr>
        <w:snapToGrid w:val="0"/>
        <w:spacing w:line="360" w:lineRule="auto"/>
        <w:ind w:firstLine="411" w:firstLineChars="196"/>
        <w:rPr>
          <w:rFonts w:ascii="宋体" w:hAnsi="宋体"/>
        </w:rPr>
      </w:pPr>
      <w:r>
        <w:rPr>
          <w:rFonts w:hint="eastAsia" w:ascii="宋体" w:hAnsi="宋体"/>
        </w:rPr>
        <w:t>（9）除非另有规定或说明，本通用条款中“投标人”一词亦指联合体各方。</w:t>
      </w:r>
    </w:p>
    <w:p>
      <w:pPr>
        <w:snapToGrid w:val="0"/>
        <w:spacing w:line="360" w:lineRule="auto"/>
        <w:rPr>
          <w:rFonts w:ascii="黑体" w:hAnsi="宋体" w:eastAsia="黑体"/>
          <w:sz w:val="24"/>
        </w:rPr>
      </w:pPr>
      <w:r>
        <w:rPr>
          <w:rFonts w:hint="eastAsia" w:ascii="黑体" w:hAnsi="宋体" w:eastAsia="黑体"/>
          <w:sz w:val="24"/>
        </w:rPr>
        <w:t>5．投标费用</w:t>
      </w:r>
      <w:bookmarkEnd w:id="24"/>
      <w:bookmarkEnd w:id="25"/>
      <w:bookmarkEnd w:id="26"/>
      <w:bookmarkEnd w:id="27"/>
      <w:bookmarkEnd w:id="28"/>
      <w:bookmarkEnd w:id="29"/>
      <w:bookmarkEnd w:id="30"/>
    </w:p>
    <w:p>
      <w:pPr>
        <w:snapToGrid w:val="0"/>
        <w:spacing w:line="360" w:lineRule="auto"/>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snapToGrid w:val="0"/>
        <w:spacing w:line="360" w:lineRule="auto"/>
        <w:rPr>
          <w:rFonts w:ascii="黑体" w:hAnsi="宋体" w:eastAsia="黑体"/>
          <w:sz w:val="24"/>
        </w:rPr>
      </w:pPr>
      <w:bookmarkStart w:id="31" w:name="_Toc100052371"/>
      <w:bookmarkStart w:id="32" w:name="_Toc73521642"/>
      <w:bookmarkStart w:id="33" w:name="_Toc60560632"/>
      <w:bookmarkStart w:id="34" w:name="_Toc73521554"/>
      <w:bookmarkStart w:id="35" w:name="_Toc73518124"/>
      <w:bookmarkStart w:id="36" w:name="_Toc60631627"/>
      <w:bookmarkStart w:id="37" w:name="_Toc73517646"/>
      <w:r>
        <w:rPr>
          <w:rFonts w:hint="eastAsia" w:ascii="黑体" w:hAnsi="宋体" w:eastAsia="黑体"/>
          <w:sz w:val="24"/>
        </w:rPr>
        <w:t>6．踏勘现场</w:t>
      </w:r>
      <w:bookmarkEnd w:id="31"/>
      <w:bookmarkEnd w:id="32"/>
      <w:bookmarkEnd w:id="33"/>
      <w:bookmarkEnd w:id="34"/>
      <w:bookmarkEnd w:id="35"/>
      <w:bookmarkEnd w:id="36"/>
      <w:bookmarkEnd w:id="37"/>
    </w:p>
    <w:p>
      <w:pPr>
        <w:snapToGrid w:val="0"/>
        <w:spacing w:line="360" w:lineRule="auto"/>
        <w:ind w:firstLine="411" w:firstLineChars="196"/>
        <w:rPr>
          <w:rFonts w:ascii="宋体" w:hAnsi="宋体"/>
        </w:rPr>
      </w:pPr>
      <w:bookmarkStart w:id="38" w:name="_Toc78260681"/>
      <w:bookmarkStart w:id="39" w:name="_Toc100052372"/>
      <w:r>
        <w:rPr>
          <w:rFonts w:hint="eastAsia" w:ascii="宋体" w:hAnsi="宋体"/>
        </w:rPr>
        <w:t>6.1如有需要，政府采购代理机构或采购单位将组织投标人对项目现场及周围环境进行踏勘，以便投标人获取有关编制投标文件和签署合同所需的所有资料。踏勘现场所发生的费用由投标人自行承担，投标人应按采购公告所约定的时间、地点踏勘现场。</w:t>
      </w:r>
    </w:p>
    <w:p>
      <w:pPr>
        <w:snapToGrid w:val="0"/>
        <w:spacing w:line="360" w:lineRule="auto"/>
        <w:ind w:firstLine="411" w:firstLineChars="196"/>
        <w:rPr>
          <w:rFonts w:ascii="宋体" w:hAnsi="宋体"/>
        </w:rPr>
      </w:pPr>
      <w:r>
        <w:rPr>
          <w:rFonts w:hint="eastAsia" w:ascii="宋体" w:hAnsi="宋体"/>
        </w:rPr>
        <w:t>6.2投标人及其人员经过采购单位的允许，可以踏勘目的进入采购单位的项目现场。投标人未参与统一组织踏勘现场的，采购单位有权拒绝其进入项目现场。</w:t>
      </w:r>
    </w:p>
    <w:p>
      <w:pPr>
        <w:snapToGrid w:val="0"/>
        <w:spacing w:line="360" w:lineRule="auto"/>
        <w:ind w:firstLine="411" w:firstLineChars="196"/>
        <w:rPr>
          <w:rFonts w:ascii="宋体" w:hAnsi="宋体"/>
        </w:rPr>
      </w:pPr>
      <w:r>
        <w:rPr>
          <w:rFonts w:hint="eastAsia" w:ascii="宋体" w:hAnsi="宋体"/>
        </w:rPr>
        <w:t>6.3采购单位必须通过政府采购代理机构向投标人提供有关现场的资料和数据。</w:t>
      </w:r>
    </w:p>
    <w:p>
      <w:pPr>
        <w:snapToGrid w:val="0"/>
        <w:spacing w:line="360" w:lineRule="auto"/>
        <w:ind w:firstLine="411" w:firstLineChars="196"/>
        <w:rPr>
          <w:rFonts w:ascii="宋体" w:hAnsi="宋体"/>
        </w:rPr>
      </w:pPr>
      <w:r>
        <w:rPr>
          <w:rFonts w:hint="eastAsia" w:ascii="宋体" w:hAnsi="宋体"/>
        </w:rPr>
        <w:t>6.4任何人或任何组织在踏勘现场时向投标人提交的任何书面或口头上的资料，未经政府采购代理机构在网上发布或书面通知，均作无效处理。政府采购代理机构对投标人由此而做出的推论、理解和结论概不负责。</w:t>
      </w:r>
    </w:p>
    <w:p>
      <w:pPr>
        <w:snapToGrid w:val="0"/>
        <w:spacing w:line="360" w:lineRule="auto"/>
        <w:ind w:firstLine="411" w:firstLineChars="196"/>
        <w:rPr>
          <w:rFonts w:ascii="宋体" w:hAnsi="宋体"/>
        </w:rPr>
      </w:pPr>
      <w:r>
        <w:rPr>
          <w:rFonts w:hint="eastAsia" w:ascii="宋体" w:hAnsi="宋体"/>
        </w:rPr>
        <w:t>6.5 未参与现场踏勘不作为否定投标人资格的理由。</w:t>
      </w:r>
    </w:p>
    <w:p>
      <w:pPr>
        <w:snapToGrid w:val="0"/>
        <w:spacing w:line="360" w:lineRule="auto"/>
        <w:rPr>
          <w:rFonts w:ascii="黑体" w:hAnsi="宋体" w:eastAsia="黑体"/>
          <w:sz w:val="24"/>
        </w:rPr>
      </w:pPr>
      <w:r>
        <w:rPr>
          <w:rFonts w:hint="eastAsia" w:ascii="黑体" w:hAnsi="宋体" w:eastAsia="黑体"/>
          <w:sz w:val="24"/>
        </w:rPr>
        <w:t>7．招标</w:t>
      </w:r>
      <w:bookmarkEnd w:id="38"/>
      <w:r>
        <w:rPr>
          <w:rFonts w:hint="eastAsia" w:ascii="黑体" w:hAnsi="宋体" w:eastAsia="黑体"/>
          <w:sz w:val="24"/>
        </w:rPr>
        <w:t>答疑</w:t>
      </w:r>
      <w:bookmarkEnd w:id="39"/>
    </w:p>
    <w:p>
      <w:pPr>
        <w:snapToGrid w:val="0"/>
        <w:spacing w:line="360" w:lineRule="auto"/>
        <w:ind w:firstLine="411" w:firstLineChars="196"/>
        <w:rPr>
          <w:rFonts w:ascii="宋体" w:hAnsi="宋体"/>
        </w:rPr>
      </w:pPr>
      <w:bookmarkStart w:id="40" w:name="bt招标文件"/>
      <w:bookmarkEnd w:id="40"/>
      <w:bookmarkStart w:id="41" w:name="_Toc73521644"/>
      <w:bookmarkStart w:id="42" w:name="_Toc73517648"/>
      <w:bookmarkStart w:id="43" w:name="_Toc101074878"/>
      <w:bookmarkStart w:id="44" w:name="_Toc73518126"/>
      <w:bookmarkStart w:id="45" w:name="_Toc73521556"/>
      <w:bookmarkStart w:id="46" w:name="_Toc100052373"/>
      <w:r>
        <w:rPr>
          <w:rFonts w:ascii="宋体" w:hAnsi="宋体"/>
        </w:rPr>
        <w:t>7</w:t>
      </w:r>
      <w:r>
        <w:rPr>
          <w:rFonts w:hint="eastAsia" w:ascii="宋体" w:hAnsi="宋体"/>
        </w:rPr>
        <w:t xml:space="preserve">.1 </w:t>
      </w:r>
      <w:r>
        <w:rPr>
          <w:rFonts w:hint="eastAsia" w:ascii="宋体" w:hAnsi="宋体"/>
          <w:szCs w:val="21"/>
        </w:rPr>
        <w:t>任何要求对招标文件进行澄清或者对招标文件有限制性、倾向性条款提出质疑的投标人，均应于“招标公告”中所述答疑截止时间前书面通知政府采购代理机构。政府采购代理机构对规定时间内收到的对招标文件的澄清或者质疑，视情况予以答复。具体答疑方式请见本招标文件第二册第一章之规定</w:t>
      </w:r>
      <w:r>
        <w:rPr>
          <w:rFonts w:hint="eastAsia" w:ascii="宋体" w:hAnsi="宋体"/>
        </w:rPr>
        <w:t>。</w:t>
      </w:r>
    </w:p>
    <w:p>
      <w:pPr>
        <w:snapToGrid w:val="0"/>
        <w:spacing w:line="360" w:lineRule="auto"/>
        <w:ind w:firstLine="411" w:firstLineChars="196"/>
        <w:rPr>
          <w:rFonts w:ascii="宋体" w:hAnsi="宋体"/>
        </w:rPr>
      </w:pPr>
    </w:p>
    <w:p>
      <w:pPr>
        <w:pStyle w:val="5"/>
        <w:spacing w:line="360" w:lineRule="auto"/>
        <w:jc w:val="center"/>
      </w:pPr>
      <w:bookmarkStart w:id="47" w:name="_Toc8596"/>
      <w:r>
        <w:rPr>
          <w:rFonts w:hint="eastAsia"/>
        </w:rPr>
        <w:t>第二章招标文件</w:t>
      </w:r>
      <w:bookmarkEnd w:id="41"/>
      <w:bookmarkEnd w:id="42"/>
      <w:bookmarkEnd w:id="43"/>
      <w:bookmarkEnd w:id="44"/>
      <w:bookmarkEnd w:id="45"/>
      <w:bookmarkEnd w:id="46"/>
      <w:bookmarkEnd w:id="47"/>
    </w:p>
    <w:p>
      <w:pPr>
        <w:snapToGrid w:val="0"/>
        <w:spacing w:line="360" w:lineRule="auto"/>
        <w:rPr>
          <w:rFonts w:ascii="黑体" w:hAnsi="宋体" w:eastAsia="黑体"/>
          <w:sz w:val="24"/>
        </w:rPr>
      </w:pPr>
      <w:bookmarkStart w:id="48" w:name="_Toc73521557"/>
      <w:bookmarkStart w:id="49" w:name="_Toc73521645"/>
      <w:bookmarkStart w:id="50" w:name="_Toc73517649"/>
      <w:bookmarkStart w:id="51" w:name="_Toc100052374"/>
      <w:bookmarkStart w:id="52" w:name="_Toc73518127"/>
      <w:bookmarkStart w:id="53" w:name="OLE_LINK10"/>
      <w:bookmarkStart w:id="54" w:name="_Toc60560636"/>
      <w:bookmarkStart w:id="55" w:name="_Toc73521646"/>
      <w:bookmarkStart w:id="56" w:name="_Toc100052375"/>
      <w:bookmarkStart w:id="57" w:name="_Toc73518128"/>
      <w:bookmarkStart w:id="58" w:name="_Toc60631631"/>
      <w:bookmarkStart w:id="59" w:name="_Toc73521558"/>
      <w:bookmarkStart w:id="60" w:name="_Toc73517650"/>
      <w:r>
        <w:rPr>
          <w:rFonts w:hint="eastAsia" w:ascii="黑体" w:hAnsi="宋体" w:eastAsia="黑体"/>
          <w:sz w:val="24"/>
        </w:rPr>
        <w:t>8．招标文件的组成</w:t>
      </w:r>
      <w:bookmarkEnd w:id="48"/>
      <w:bookmarkEnd w:id="49"/>
      <w:bookmarkEnd w:id="50"/>
      <w:bookmarkEnd w:id="51"/>
      <w:bookmarkEnd w:id="52"/>
    </w:p>
    <w:p>
      <w:pPr>
        <w:snapToGrid w:val="0"/>
        <w:spacing w:line="360" w:lineRule="auto"/>
        <w:ind w:firstLine="411" w:firstLineChars="196"/>
        <w:rPr>
          <w:rFonts w:ascii="宋体" w:hAnsi="宋体"/>
          <w:szCs w:val="21"/>
        </w:rPr>
      </w:pPr>
      <w:r>
        <w:rPr>
          <w:rFonts w:hint="eastAsia" w:ascii="宋体" w:hAnsi="宋体"/>
          <w:szCs w:val="21"/>
        </w:rPr>
        <w:t>8.1招标文件除以下内容外，政府采购代理机构在招标期间发出的答疑文件和其他补充修改文件，均是招标文件的组成部分，对投标人起约束作用；</w:t>
      </w:r>
    </w:p>
    <w:p>
      <w:pPr>
        <w:snapToGrid w:val="0"/>
        <w:spacing w:line="360" w:lineRule="auto"/>
        <w:ind w:firstLine="411" w:firstLineChars="196"/>
        <w:rPr>
          <w:rFonts w:ascii="宋体" w:hAnsi="宋体"/>
          <w:szCs w:val="21"/>
        </w:rPr>
      </w:pPr>
      <w:r>
        <w:rPr>
          <w:rFonts w:hint="eastAsia" w:ascii="宋体" w:hAnsi="宋体"/>
          <w:szCs w:val="21"/>
        </w:rPr>
        <w:t>招标文件包括下列内容：</w:t>
      </w:r>
    </w:p>
    <w:p>
      <w:pPr>
        <w:spacing w:line="360" w:lineRule="auto"/>
        <w:ind w:firstLine="422" w:firstLineChars="200"/>
        <w:rPr>
          <w:rFonts w:ascii="宋体" w:hAnsi="宋体"/>
          <w:b/>
          <w:szCs w:val="21"/>
        </w:rPr>
      </w:pPr>
      <w:r>
        <w:rPr>
          <w:rFonts w:hint="eastAsia" w:ascii="宋体" w:hAnsi="宋体"/>
          <w:b/>
          <w:szCs w:val="21"/>
        </w:rPr>
        <w:t>第一册  通用条款</w:t>
      </w:r>
    </w:p>
    <w:p>
      <w:pPr>
        <w:spacing w:line="360" w:lineRule="auto"/>
        <w:ind w:firstLine="840" w:firstLineChars="400"/>
        <w:rPr>
          <w:rFonts w:ascii="宋体" w:hAnsi="宋体"/>
          <w:szCs w:val="21"/>
        </w:rPr>
      </w:pPr>
      <w:r>
        <w:rPr>
          <w:rFonts w:hint="eastAsia" w:ascii="宋体" w:hAnsi="宋体"/>
          <w:szCs w:val="21"/>
        </w:rPr>
        <w:t>第一章 总则</w:t>
      </w:r>
    </w:p>
    <w:p>
      <w:pPr>
        <w:spacing w:line="360" w:lineRule="auto"/>
        <w:ind w:firstLine="840" w:firstLineChars="400"/>
        <w:rPr>
          <w:rFonts w:ascii="宋体" w:hAnsi="宋体"/>
          <w:szCs w:val="21"/>
        </w:rPr>
      </w:pPr>
      <w:r>
        <w:rPr>
          <w:rFonts w:hint="eastAsia" w:ascii="宋体" w:hAnsi="宋体"/>
          <w:szCs w:val="21"/>
        </w:rPr>
        <w:t>第二章 招标文件</w:t>
      </w:r>
    </w:p>
    <w:p>
      <w:pPr>
        <w:spacing w:line="360" w:lineRule="auto"/>
        <w:ind w:firstLine="840" w:firstLineChars="400"/>
        <w:rPr>
          <w:rFonts w:ascii="宋体" w:hAnsi="宋体"/>
          <w:szCs w:val="21"/>
        </w:rPr>
      </w:pPr>
      <w:r>
        <w:rPr>
          <w:rFonts w:hint="eastAsia" w:ascii="宋体" w:hAnsi="宋体"/>
          <w:szCs w:val="21"/>
        </w:rPr>
        <w:t>第三章 投标文件的编制</w:t>
      </w:r>
    </w:p>
    <w:p>
      <w:pPr>
        <w:spacing w:line="360" w:lineRule="auto"/>
        <w:ind w:firstLine="840" w:firstLineChars="400"/>
        <w:rPr>
          <w:rFonts w:ascii="宋体" w:hAnsi="宋体"/>
          <w:szCs w:val="21"/>
        </w:rPr>
      </w:pPr>
      <w:r>
        <w:rPr>
          <w:rFonts w:hint="eastAsia" w:ascii="宋体" w:hAnsi="宋体"/>
          <w:szCs w:val="21"/>
        </w:rPr>
        <w:t>第四章 投标文件的递交</w:t>
      </w:r>
    </w:p>
    <w:p>
      <w:pPr>
        <w:spacing w:line="360" w:lineRule="auto"/>
        <w:ind w:firstLine="840" w:firstLineChars="400"/>
        <w:rPr>
          <w:rFonts w:ascii="宋体" w:hAnsi="宋体"/>
          <w:szCs w:val="21"/>
        </w:rPr>
      </w:pPr>
      <w:r>
        <w:rPr>
          <w:rFonts w:hint="eastAsia" w:ascii="宋体" w:hAnsi="宋体"/>
          <w:szCs w:val="21"/>
        </w:rPr>
        <w:t>第五章 开标</w:t>
      </w:r>
    </w:p>
    <w:p>
      <w:pPr>
        <w:spacing w:line="360" w:lineRule="auto"/>
        <w:ind w:firstLine="840" w:firstLineChars="400"/>
        <w:rPr>
          <w:rFonts w:ascii="宋体" w:hAnsi="宋体"/>
          <w:szCs w:val="21"/>
        </w:rPr>
      </w:pPr>
      <w:r>
        <w:rPr>
          <w:rFonts w:hint="eastAsia" w:ascii="宋体" w:hAnsi="宋体"/>
          <w:szCs w:val="21"/>
        </w:rPr>
        <w:t>第六章 评标</w:t>
      </w:r>
    </w:p>
    <w:p>
      <w:pPr>
        <w:spacing w:line="360" w:lineRule="auto"/>
        <w:ind w:firstLine="840" w:firstLineChars="400"/>
        <w:rPr>
          <w:rFonts w:ascii="宋体" w:hAnsi="宋体"/>
          <w:szCs w:val="21"/>
        </w:rPr>
      </w:pPr>
      <w:r>
        <w:rPr>
          <w:rFonts w:hint="eastAsia" w:ascii="宋体" w:hAnsi="宋体"/>
          <w:szCs w:val="21"/>
        </w:rPr>
        <w:t>第七章 评标程序及评标方法</w:t>
      </w:r>
    </w:p>
    <w:p>
      <w:pPr>
        <w:spacing w:line="360" w:lineRule="auto"/>
        <w:ind w:firstLine="840" w:firstLineChars="400"/>
        <w:rPr>
          <w:rFonts w:ascii="宋体" w:hAnsi="宋体"/>
          <w:szCs w:val="21"/>
        </w:rPr>
      </w:pPr>
      <w:r>
        <w:rPr>
          <w:rFonts w:hint="eastAsia" w:ascii="宋体" w:hAnsi="宋体"/>
          <w:szCs w:val="21"/>
        </w:rPr>
        <w:t>第八章 公开招标失败的后续处理</w:t>
      </w:r>
    </w:p>
    <w:p>
      <w:pPr>
        <w:spacing w:line="360" w:lineRule="auto"/>
        <w:ind w:firstLine="840" w:firstLineChars="400"/>
        <w:rPr>
          <w:rFonts w:ascii="宋体" w:hAnsi="宋体"/>
          <w:szCs w:val="21"/>
        </w:rPr>
      </w:pPr>
      <w:r>
        <w:rPr>
          <w:rFonts w:hint="eastAsia" w:ascii="宋体" w:hAnsi="宋体"/>
          <w:szCs w:val="21"/>
        </w:rPr>
        <w:t>第九章 合同的授予</w:t>
      </w:r>
    </w:p>
    <w:p>
      <w:pPr>
        <w:spacing w:line="360" w:lineRule="auto"/>
        <w:ind w:firstLine="422" w:firstLineChars="200"/>
        <w:rPr>
          <w:rFonts w:ascii="宋体" w:hAnsi="宋体"/>
          <w:b/>
          <w:szCs w:val="21"/>
        </w:rPr>
      </w:pPr>
      <w:r>
        <w:rPr>
          <w:rFonts w:hint="eastAsia" w:ascii="宋体" w:hAnsi="宋体"/>
          <w:b/>
          <w:szCs w:val="21"/>
        </w:rPr>
        <w:t>第二册  专用条款</w:t>
      </w:r>
    </w:p>
    <w:p>
      <w:pPr>
        <w:spacing w:line="360" w:lineRule="auto"/>
        <w:ind w:firstLine="840" w:firstLineChars="400"/>
        <w:rPr>
          <w:rFonts w:ascii="宋体" w:hAnsi="宋体"/>
          <w:szCs w:val="21"/>
        </w:rPr>
      </w:pPr>
      <w:r>
        <w:rPr>
          <w:rFonts w:hint="eastAsia" w:ascii="宋体" w:hAnsi="宋体"/>
          <w:szCs w:val="21"/>
        </w:rPr>
        <w:t>第一章 招标公告</w:t>
      </w:r>
    </w:p>
    <w:p>
      <w:pPr>
        <w:spacing w:line="360" w:lineRule="auto"/>
        <w:ind w:firstLine="840" w:firstLineChars="400"/>
        <w:rPr>
          <w:rFonts w:ascii="宋体" w:hAnsi="宋体"/>
          <w:szCs w:val="21"/>
        </w:rPr>
      </w:pPr>
      <w:r>
        <w:rPr>
          <w:rFonts w:hint="eastAsia" w:ascii="宋体" w:hAnsi="宋体"/>
          <w:szCs w:val="21"/>
        </w:rPr>
        <w:t>第二章 关键信息</w:t>
      </w:r>
    </w:p>
    <w:p>
      <w:pPr>
        <w:spacing w:line="360" w:lineRule="auto"/>
        <w:ind w:firstLine="1260" w:firstLineChars="600"/>
        <w:rPr>
          <w:rFonts w:ascii="宋体" w:hAnsi="宋体"/>
          <w:szCs w:val="21"/>
        </w:rPr>
      </w:pPr>
      <w:r>
        <w:rPr>
          <w:rFonts w:hint="eastAsia" w:ascii="宋体" w:hAnsi="宋体"/>
          <w:szCs w:val="21"/>
        </w:rPr>
        <w:t>表一、投标须知前附表</w:t>
      </w:r>
    </w:p>
    <w:p>
      <w:pPr>
        <w:spacing w:line="360" w:lineRule="auto"/>
        <w:ind w:firstLine="1260" w:firstLineChars="600"/>
        <w:rPr>
          <w:rFonts w:ascii="宋体" w:hAnsi="宋体"/>
          <w:szCs w:val="21"/>
        </w:rPr>
      </w:pPr>
      <w:r>
        <w:rPr>
          <w:rFonts w:hint="eastAsia" w:ascii="宋体" w:hAnsi="宋体"/>
          <w:szCs w:val="21"/>
        </w:rPr>
        <w:t>表二、投标文件初审表</w:t>
      </w:r>
    </w:p>
    <w:p>
      <w:pPr>
        <w:spacing w:line="360" w:lineRule="auto"/>
        <w:ind w:firstLine="1260" w:firstLineChars="600"/>
        <w:rPr>
          <w:rFonts w:ascii="宋体" w:hAnsi="宋体"/>
          <w:szCs w:val="21"/>
        </w:rPr>
      </w:pPr>
      <w:r>
        <w:rPr>
          <w:rFonts w:hint="eastAsia" w:ascii="宋体" w:hAnsi="宋体"/>
          <w:szCs w:val="21"/>
        </w:rPr>
        <w:t>表三、评标信息</w:t>
      </w:r>
    </w:p>
    <w:p>
      <w:pPr>
        <w:spacing w:line="360" w:lineRule="auto"/>
        <w:ind w:firstLine="840" w:firstLineChars="400"/>
        <w:rPr>
          <w:rFonts w:ascii="宋体" w:hAnsi="宋体"/>
          <w:szCs w:val="21"/>
        </w:rPr>
      </w:pPr>
      <w:r>
        <w:rPr>
          <w:rFonts w:hint="eastAsia" w:ascii="宋体" w:hAnsi="宋体"/>
          <w:szCs w:val="21"/>
        </w:rPr>
        <w:t>第三章 招标项目需求</w:t>
      </w:r>
    </w:p>
    <w:p>
      <w:pPr>
        <w:spacing w:line="360" w:lineRule="auto"/>
        <w:ind w:firstLine="840" w:firstLineChars="400"/>
        <w:rPr>
          <w:rFonts w:ascii="宋体" w:hAnsi="宋体"/>
          <w:szCs w:val="21"/>
        </w:rPr>
      </w:pPr>
      <w:r>
        <w:rPr>
          <w:rFonts w:hint="eastAsia" w:ascii="宋体" w:hAnsi="宋体"/>
          <w:szCs w:val="21"/>
        </w:rPr>
        <w:t>第四章 合同条款及格式</w:t>
      </w:r>
    </w:p>
    <w:p>
      <w:pPr>
        <w:spacing w:line="360" w:lineRule="auto"/>
        <w:ind w:firstLine="840" w:firstLineChars="400"/>
        <w:rPr>
          <w:rFonts w:ascii="宋体" w:hAnsi="宋体"/>
          <w:szCs w:val="21"/>
        </w:rPr>
      </w:pPr>
      <w:r>
        <w:rPr>
          <w:rFonts w:hint="eastAsia" w:ascii="宋体" w:hAnsi="宋体"/>
          <w:szCs w:val="21"/>
        </w:rPr>
        <w:t>第五章 投标文件的格式、附件</w:t>
      </w:r>
    </w:p>
    <w:p>
      <w:pPr>
        <w:spacing w:line="360" w:lineRule="auto"/>
        <w:ind w:firstLine="840" w:firstLineChars="400"/>
        <w:rPr>
          <w:rFonts w:ascii="宋体" w:hAnsi="宋体"/>
          <w:szCs w:val="21"/>
        </w:rPr>
      </w:pPr>
      <w:r>
        <w:rPr>
          <w:rFonts w:hint="eastAsia" w:ascii="宋体" w:hAnsi="宋体"/>
          <w:szCs w:val="21"/>
        </w:rPr>
        <w:t>第六章 政府采购履约情况反馈表</w:t>
      </w:r>
    </w:p>
    <w:p>
      <w:pPr>
        <w:snapToGrid w:val="0"/>
        <w:spacing w:line="360" w:lineRule="auto"/>
        <w:ind w:firstLine="411" w:firstLineChars="196"/>
        <w:rPr>
          <w:rFonts w:ascii="宋体" w:hAnsi="宋体"/>
          <w:szCs w:val="21"/>
        </w:rPr>
      </w:pPr>
      <w:r>
        <w:rPr>
          <w:rFonts w:hint="eastAsia" w:ascii="宋体" w:hAnsi="宋体"/>
          <w:szCs w:val="21"/>
        </w:rPr>
        <w:t>8.2 招标活动信息发布及通告：自采购人确认招标文件之日起两个工作日内，政府采购代理机构发布招标公告和招标文件，并在投标截止前十日公布招标公告和招标文件，预算金额在一千万元以上的采购项目，在投标截止前十五日公布招标公告和招标文件；自评审结束之日起两个工作日内，政府采购代理机构将中标结果送交采购人确认中标供应商；政府采购代理机构在发出中标通知书之前，将中标结果通过政府采购指定网站进行公示三日；公示期满无异议或者异议不成立的，政府采购代理机构发出中标通知书。</w:t>
      </w:r>
    </w:p>
    <w:p>
      <w:pPr>
        <w:snapToGrid w:val="0"/>
        <w:spacing w:line="360" w:lineRule="auto"/>
        <w:ind w:firstLine="411" w:firstLineChars="196"/>
        <w:rPr>
          <w:rFonts w:ascii="宋体" w:hAnsi="宋体"/>
          <w:szCs w:val="21"/>
        </w:rPr>
      </w:pPr>
      <w:r>
        <w:rPr>
          <w:rFonts w:hint="eastAsia" w:ascii="宋体" w:hAnsi="宋体"/>
          <w:szCs w:val="21"/>
        </w:rPr>
        <w:t>8.3 投标人获得招标文件后，应仔细检查招标文件的所有内容，如有残缺应在投标答疑截止时间之前向政府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snapToGrid w:val="0"/>
        <w:spacing w:line="360" w:lineRule="auto"/>
        <w:ind w:firstLine="411" w:firstLineChars="196"/>
        <w:rPr>
          <w:rFonts w:ascii="宋体" w:hAnsi="宋体"/>
          <w:szCs w:val="21"/>
        </w:rPr>
      </w:pPr>
      <w:r>
        <w:rPr>
          <w:rFonts w:hint="eastAsia" w:ascii="宋体" w:hAnsi="宋体"/>
          <w:szCs w:val="21"/>
        </w:rPr>
        <w:t>8.4</w:t>
      </w:r>
      <w:r>
        <w:rPr>
          <w:rFonts w:hint="eastAsia" w:ascii="宋体" w:hAnsi="宋体"/>
        </w:rPr>
        <w:t>任何人或任何组织向投标人提交的任何书面或口头资料，未经政府采购代理机构在网上发布或书面通知，均作无效处理，不得作为招标文件的组成部分。政府采购代理机构对投标人由此而做出的推论、理解和结论概不负责。</w:t>
      </w:r>
      <w:bookmarkEnd w:id="53"/>
    </w:p>
    <w:p>
      <w:pPr>
        <w:snapToGrid w:val="0"/>
        <w:spacing w:line="360" w:lineRule="auto"/>
        <w:rPr>
          <w:rFonts w:ascii="黑体" w:hAnsi="宋体" w:eastAsia="黑体"/>
          <w:sz w:val="24"/>
        </w:rPr>
      </w:pPr>
      <w:r>
        <w:rPr>
          <w:rFonts w:ascii="黑体" w:hAnsi="宋体" w:eastAsia="黑体"/>
          <w:sz w:val="24"/>
        </w:rPr>
        <w:t>9</w:t>
      </w:r>
      <w:r>
        <w:rPr>
          <w:rFonts w:hint="eastAsia" w:ascii="黑体" w:hAnsi="宋体" w:eastAsia="黑体"/>
          <w:sz w:val="24"/>
        </w:rPr>
        <w:t>．招标文件的澄清</w:t>
      </w:r>
      <w:bookmarkEnd w:id="54"/>
      <w:bookmarkEnd w:id="55"/>
      <w:bookmarkEnd w:id="56"/>
      <w:bookmarkEnd w:id="57"/>
      <w:bookmarkEnd w:id="58"/>
      <w:bookmarkEnd w:id="59"/>
      <w:bookmarkEnd w:id="60"/>
    </w:p>
    <w:p>
      <w:pPr>
        <w:snapToGrid w:val="0"/>
        <w:spacing w:line="360" w:lineRule="auto"/>
        <w:ind w:firstLine="411" w:firstLineChars="196"/>
        <w:rPr>
          <w:rFonts w:ascii="宋体" w:hAnsi="宋体"/>
          <w:szCs w:val="21"/>
        </w:rPr>
      </w:pPr>
      <w:bookmarkStart w:id="61" w:name="_Toc73521647"/>
      <w:bookmarkStart w:id="62" w:name="_Toc73518129"/>
      <w:bookmarkStart w:id="63" w:name="_Toc100052376"/>
      <w:bookmarkStart w:id="64" w:name="_Toc60631632"/>
      <w:bookmarkStart w:id="65" w:name="_Toc73517651"/>
      <w:bookmarkStart w:id="66" w:name="_Toc60560637"/>
      <w:bookmarkStart w:id="67" w:name="_Toc73521559"/>
      <w:r>
        <w:rPr>
          <w:rFonts w:hint="eastAsia" w:ascii="宋体" w:hAnsi="宋体"/>
          <w:szCs w:val="21"/>
        </w:rPr>
        <w:t>9.1任何要求对招标文件进行澄清或者对招标文件有限制性、倾向性条款提出质疑的投标人，均应于“招标公告”中所述答疑截止时间前通知政府采购代理机构。政府采购代理机构对规定时间内收到的对招标文件的澄清或者质疑，视情况予以答复。具体答疑方式请见本招标文件第二册第一章之规定。</w:t>
      </w:r>
    </w:p>
    <w:p>
      <w:pPr>
        <w:snapToGrid w:val="0"/>
        <w:spacing w:line="360" w:lineRule="auto"/>
        <w:ind w:firstLine="411" w:firstLineChars="196"/>
        <w:rPr>
          <w:rFonts w:ascii="宋体" w:hAnsi="宋体"/>
          <w:szCs w:val="21"/>
        </w:rPr>
      </w:pPr>
      <w:r>
        <w:rPr>
          <w:rFonts w:hint="eastAsia" w:ascii="宋体" w:hAnsi="宋体"/>
          <w:szCs w:val="21"/>
        </w:rPr>
        <w:t>9.2对于没有提出澄清或者质疑又参与了该项目投标的供应商将被视为完全认同该招标文件，投标截止期后不再受理针对招标文件的相关质疑、投诉。</w:t>
      </w:r>
    </w:p>
    <w:p>
      <w:pPr>
        <w:snapToGrid w:val="0"/>
        <w:spacing w:line="360" w:lineRule="auto"/>
        <w:ind w:firstLine="411" w:firstLineChars="196"/>
        <w:rPr>
          <w:rFonts w:ascii="宋体" w:hAnsi="宋体"/>
          <w:szCs w:val="21"/>
        </w:rPr>
      </w:pPr>
      <w:r>
        <w:rPr>
          <w:rFonts w:hint="eastAsia" w:ascii="宋体" w:hAnsi="宋体"/>
          <w:szCs w:val="21"/>
        </w:rPr>
        <w:t>9.3 对招</w:t>
      </w:r>
      <w:r>
        <w:rPr>
          <w:rFonts w:ascii="宋体" w:hAnsi="宋体"/>
          <w:szCs w:val="21"/>
        </w:rPr>
        <w:t>标</w:t>
      </w:r>
      <w:r>
        <w:rPr>
          <w:rFonts w:hint="eastAsia" w:ascii="宋体" w:hAnsi="宋体"/>
          <w:szCs w:val="21"/>
        </w:rPr>
        <w:t>文件中描述有歧义或前后不一致的地方，评审委员会有权进行评判，但对同一条款的评判应适用于每个投标人。</w:t>
      </w:r>
    </w:p>
    <w:p>
      <w:pPr>
        <w:snapToGrid w:val="0"/>
        <w:spacing w:line="360" w:lineRule="auto"/>
        <w:rPr>
          <w:rFonts w:ascii="黑体" w:hAnsi="宋体" w:eastAsia="黑体"/>
          <w:sz w:val="24"/>
        </w:rPr>
      </w:pPr>
      <w:r>
        <w:rPr>
          <w:rFonts w:ascii="黑体" w:hAnsi="宋体" w:eastAsia="黑体"/>
          <w:sz w:val="24"/>
        </w:rPr>
        <w:t>10</w:t>
      </w:r>
      <w:r>
        <w:rPr>
          <w:rFonts w:hint="eastAsia" w:ascii="黑体" w:hAnsi="宋体" w:eastAsia="黑体"/>
          <w:sz w:val="24"/>
        </w:rPr>
        <w:t>．招标文件的修改</w:t>
      </w:r>
      <w:bookmarkEnd w:id="61"/>
      <w:bookmarkEnd w:id="62"/>
      <w:bookmarkEnd w:id="63"/>
      <w:bookmarkEnd w:id="64"/>
      <w:bookmarkEnd w:id="65"/>
      <w:bookmarkEnd w:id="66"/>
      <w:bookmarkEnd w:id="67"/>
    </w:p>
    <w:p>
      <w:pPr>
        <w:snapToGrid w:val="0"/>
        <w:spacing w:line="360" w:lineRule="auto"/>
        <w:ind w:firstLine="411" w:firstLineChars="196"/>
        <w:rPr>
          <w:rFonts w:ascii="宋体" w:hAnsi="宋体"/>
          <w:szCs w:val="21"/>
        </w:rPr>
      </w:pPr>
      <w:r>
        <w:rPr>
          <w:rFonts w:ascii="宋体" w:hAnsi="宋体"/>
          <w:szCs w:val="21"/>
        </w:rPr>
        <w:t>10</w:t>
      </w:r>
      <w:r>
        <w:rPr>
          <w:rFonts w:hint="eastAsia" w:ascii="宋体" w:hAnsi="宋体"/>
          <w:szCs w:val="21"/>
        </w:rPr>
        <w:t>.1 招标文件发出后，在投标截止日期前任何时候，确需要变更招标内容的，政府采购代理机构可主动地或在解答投标人提出的澄清问题时对招标文件进行修改；</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.2招标文件的修改均在</w:t>
      </w:r>
      <w:r>
        <w:rPr>
          <w:rFonts w:ascii="宋体" w:hAnsi="宋体"/>
          <w:szCs w:val="21"/>
        </w:rPr>
        <w:t>深圳政府采购网站</w:t>
      </w:r>
      <w:r>
        <w:rPr>
          <w:rFonts w:hint="eastAsia" w:ascii="宋体" w:hAnsi="宋体"/>
          <w:szCs w:val="21"/>
        </w:rPr>
        <w:t>和招标机构政府采购网以网上公告形式发布，并对投标人具有约束力，在项目开标前，投标人有义务上网查看，公告一经上网发布，即视为送达。</w:t>
      </w:r>
    </w:p>
    <w:p>
      <w:pPr>
        <w:snapToGrid w:val="0"/>
        <w:spacing w:line="360" w:lineRule="auto"/>
        <w:ind w:firstLine="411" w:firstLineChars="196"/>
        <w:rPr>
          <w:rFonts w:ascii="宋体" w:hAnsi="宋体"/>
          <w:szCs w:val="21"/>
        </w:rPr>
      </w:pPr>
      <w:r>
        <w:rPr>
          <w:rFonts w:ascii="宋体" w:hAnsi="宋体"/>
          <w:szCs w:val="21"/>
        </w:rPr>
        <w:t>10</w:t>
      </w:r>
      <w:r>
        <w:rPr>
          <w:rFonts w:hint="eastAsia" w:ascii="宋体" w:hAnsi="宋体"/>
          <w:szCs w:val="21"/>
        </w:rPr>
        <w:t>.3 招标文件、招标文件澄清（答疑）纪要、招标文件修改补充通知内容均以书面明确的内容为准。当招标文件、修改补充通知、澄清（答疑）纪要内容相互矛盾时，以最后发出的通知（或纪要）或修改文件为准；</w:t>
      </w:r>
    </w:p>
    <w:p>
      <w:pPr>
        <w:snapToGrid w:val="0"/>
        <w:spacing w:line="360" w:lineRule="auto"/>
        <w:ind w:firstLine="411" w:firstLineChars="196"/>
        <w:rPr>
          <w:rFonts w:ascii="宋体" w:hAnsi="宋体"/>
          <w:szCs w:val="21"/>
        </w:rPr>
      </w:pPr>
      <w:r>
        <w:rPr>
          <w:rFonts w:ascii="宋体" w:hAnsi="宋体"/>
          <w:szCs w:val="21"/>
        </w:rPr>
        <w:t>10</w:t>
      </w:r>
      <w:r>
        <w:rPr>
          <w:rFonts w:hint="eastAsia" w:ascii="宋体" w:hAnsi="宋体"/>
          <w:szCs w:val="21"/>
        </w:rPr>
        <w:t>.4 政府采购代理机构保证招标文件澄清（答疑）纪要和招标文件修改补充通知在投标截止时间前以网站公开发布形式或书面形式发送给所有投标人。为使投标人在编写投标文件时有充分时间对招标文件的修改部分进行研究，政府采购代理机构可以酌情延长递交投标文件的截止日期，具体时间将在修改补充通知中明确。</w:t>
      </w:r>
    </w:p>
    <w:p>
      <w:pPr>
        <w:snapToGrid w:val="0"/>
        <w:spacing w:line="360" w:lineRule="auto"/>
        <w:ind w:firstLine="411" w:firstLineChars="196"/>
        <w:rPr>
          <w:rFonts w:ascii="宋体" w:hAnsi="宋体"/>
          <w:szCs w:val="21"/>
        </w:rPr>
      </w:pPr>
    </w:p>
    <w:p>
      <w:pPr>
        <w:pStyle w:val="5"/>
        <w:spacing w:line="360" w:lineRule="auto"/>
        <w:jc w:val="center"/>
      </w:pPr>
      <w:bookmarkStart w:id="68" w:name="bt投标文件"/>
      <w:bookmarkEnd w:id="68"/>
      <w:bookmarkStart w:id="69" w:name="_Toc73521648"/>
      <w:bookmarkStart w:id="70" w:name="_Toc73517652"/>
      <w:bookmarkStart w:id="71" w:name="_Toc73518130"/>
      <w:bookmarkStart w:id="72" w:name="_Toc100052377"/>
      <w:bookmarkStart w:id="73" w:name="_Toc73521560"/>
      <w:bookmarkStart w:id="74" w:name="_Toc101074879"/>
      <w:bookmarkStart w:id="75" w:name="_Toc9993"/>
      <w:r>
        <w:rPr>
          <w:rFonts w:hint="eastAsia"/>
        </w:rPr>
        <w:t>第三章投标文件</w:t>
      </w:r>
      <w:bookmarkEnd w:id="69"/>
      <w:bookmarkEnd w:id="70"/>
      <w:bookmarkEnd w:id="71"/>
      <w:bookmarkEnd w:id="72"/>
      <w:bookmarkEnd w:id="73"/>
      <w:bookmarkEnd w:id="74"/>
      <w:r>
        <w:rPr>
          <w:rFonts w:hint="eastAsia"/>
        </w:rPr>
        <w:t>的编制</w:t>
      </w:r>
      <w:bookmarkEnd w:id="75"/>
    </w:p>
    <w:p>
      <w:pPr>
        <w:snapToGrid w:val="0"/>
        <w:spacing w:line="360" w:lineRule="auto"/>
        <w:rPr>
          <w:rFonts w:ascii="黑体" w:hAnsi="宋体" w:eastAsia="黑体"/>
          <w:sz w:val="24"/>
        </w:rPr>
      </w:pPr>
      <w:bookmarkStart w:id="76" w:name="_Toc100052378"/>
      <w:bookmarkStart w:id="77" w:name="_Toc73517653"/>
      <w:bookmarkStart w:id="78" w:name="_Toc73521561"/>
      <w:bookmarkStart w:id="79" w:name="_Toc60560639"/>
      <w:bookmarkStart w:id="80" w:name="_Toc73521649"/>
      <w:bookmarkStart w:id="81" w:name="_Toc60631634"/>
      <w:bookmarkStart w:id="82" w:name="_Toc73518131"/>
      <w:r>
        <w:rPr>
          <w:rFonts w:hint="eastAsia" w:ascii="黑体" w:hAnsi="宋体" w:eastAsia="黑体"/>
          <w:sz w:val="24"/>
        </w:rPr>
        <w:t>1</w:t>
      </w:r>
      <w:r>
        <w:rPr>
          <w:rFonts w:ascii="黑体" w:hAnsi="宋体" w:eastAsia="黑体"/>
          <w:sz w:val="24"/>
        </w:rPr>
        <w:t>1</w:t>
      </w:r>
      <w:r>
        <w:rPr>
          <w:rFonts w:hint="eastAsia" w:ascii="黑体" w:hAnsi="宋体" w:eastAsia="黑体"/>
          <w:sz w:val="24"/>
        </w:rPr>
        <w:t>．投标文件的语言及度量单位</w:t>
      </w:r>
      <w:bookmarkEnd w:id="76"/>
      <w:bookmarkEnd w:id="77"/>
      <w:bookmarkEnd w:id="78"/>
      <w:bookmarkEnd w:id="79"/>
      <w:bookmarkEnd w:id="80"/>
      <w:bookmarkEnd w:id="81"/>
      <w:bookmarkEnd w:id="82"/>
    </w:p>
    <w:p>
      <w:pPr>
        <w:snapToGrid w:val="0"/>
        <w:spacing w:line="360" w:lineRule="auto"/>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 投标人与政府采购代理机构之间与投标有关的所有往来通知、函件和投标文件均用中文表述。投标人随投标文件提供的证明文件和资料可以为其它语言，但必须附中文译文，且应以中文为准；</w:t>
      </w:r>
    </w:p>
    <w:p>
      <w:pPr>
        <w:snapToGrid w:val="0"/>
        <w:spacing w:line="360" w:lineRule="auto"/>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除技术规范另有规定外，投标文件使用的度量单位，均采用中华人民共和国法定计量单位。</w:t>
      </w:r>
    </w:p>
    <w:p>
      <w:pPr>
        <w:snapToGrid w:val="0"/>
        <w:spacing w:line="360" w:lineRule="auto"/>
        <w:rPr>
          <w:rFonts w:ascii="黑体" w:hAnsi="宋体" w:eastAsia="黑体"/>
          <w:sz w:val="24"/>
        </w:rPr>
      </w:pPr>
      <w:bookmarkStart w:id="83" w:name="_Toc60631635"/>
      <w:bookmarkStart w:id="84" w:name="_Toc100052379"/>
      <w:bookmarkStart w:id="85" w:name="_Toc73518132"/>
      <w:bookmarkStart w:id="86" w:name="_Toc73521562"/>
      <w:bookmarkStart w:id="87" w:name="_Toc60560640"/>
      <w:bookmarkStart w:id="88" w:name="_Toc73521650"/>
      <w:bookmarkStart w:id="89" w:name="_Toc73517654"/>
      <w:r>
        <w:rPr>
          <w:rFonts w:hint="eastAsia" w:ascii="黑体" w:hAnsi="宋体" w:eastAsia="黑体"/>
          <w:sz w:val="24"/>
        </w:rPr>
        <w:t>1</w:t>
      </w:r>
      <w:r>
        <w:rPr>
          <w:rFonts w:ascii="黑体" w:hAnsi="宋体" w:eastAsia="黑体"/>
          <w:sz w:val="24"/>
        </w:rPr>
        <w:t>2</w:t>
      </w:r>
      <w:r>
        <w:rPr>
          <w:rFonts w:hint="eastAsia" w:ascii="黑体" w:hAnsi="宋体" w:eastAsia="黑体"/>
          <w:sz w:val="24"/>
        </w:rPr>
        <w:t>．投标文件的组成</w:t>
      </w:r>
      <w:bookmarkEnd w:id="83"/>
      <w:bookmarkEnd w:id="84"/>
      <w:bookmarkEnd w:id="85"/>
      <w:bookmarkEnd w:id="86"/>
      <w:bookmarkEnd w:id="87"/>
      <w:bookmarkEnd w:id="88"/>
      <w:bookmarkEnd w:id="89"/>
    </w:p>
    <w:p>
      <w:pPr>
        <w:snapToGrid w:val="0"/>
        <w:spacing w:line="360" w:lineRule="auto"/>
        <w:ind w:firstLine="413" w:firstLineChars="196"/>
        <w:rPr>
          <w:rFonts w:ascii="宋体" w:hAnsi="宋体"/>
          <w:b/>
          <w:szCs w:val="21"/>
        </w:rPr>
      </w:pPr>
      <w:r>
        <w:rPr>
          <w:rFonts w:hint="eastAsia" w:ascii="宋体" w:hAnsi="宋体"/>
          <w:b/>
          <w:szCs w:val="21"/>
        </w:rPr>
        <w:t>（具体内容请详见第二册第五章的相关内容）</w:t>
      </w:r>
      <w:bookmarkStart w:id="90" w:name="投标文件的组成"/>
      <w:bookmarkStart w:id="91" w:name="_Toc73521651"/>
      <w:bookmarkStart w:id="92" w:name="_Toc60631636"/>
      <w:bookmarkStart w:id="93" w:name="_Toc73521563"/>
      <w:bookmarkStart w:id="94" w:name="_Toc60560641"/>
      <w:bookmarkStart w:id="95" w:name="_Toc73518133"/>
      <w:bookmarkStart w:id="96" w:name="_Toc73517655"/>
    </w:p>
    <w:bookmarkEnd w:id="90"/>
    <w:p>
      <w:pPr>
        <w:snapToGrid w:val="0"/>
        <w:spacing w:line="360" w:lineRule="auto"/>
        <w:rPr>
          <w:rFonts w:ascii="黑体" w:hAnsi="宋体" w:eastAsia="黑体"/>
          <w:sz w:val="24"/>
        </w:rPr>
      </w:pPr>
      <w:bookmarkStart w:id="97" w:name="_Toc100052380"/>
      <w:r>
        <w:rPr>
          <w:rFonts w:hint="eastAsia" w:ascii="黑体" w:hAnsi="宋体" w:eastAsia="黑体"/>
          <w:sz w:val="24"/>
        </w:rPr>
        <w:t>1</w:t>
      </w:r>
      <w:r>
        <w:rPr>
          <w:rFonts w:ascii="黑体" w:hAnsi="宋体" w:eastAsia="黑体"/>
          <w:sz w:val="24"/>
        </w:rPr>
        <w:t>3</w:t>
      </w:r>
      <w:r>
        <w:rPr>
          <w:rFonts w:hint="eastAsia" w:ascii="黑体" w:hAnsi="宋体" w:eastAsia="黑体"/>
          <w:sz w:val="24"/>
        </w:rPr>
        <w:t>．投标文件格式</w:t>
      </w:r>
      <w:bookmarkEnd w:id="91"/>
      <w:bookmarkEnd w:id="92"/>
      <w:bookmarkEnd w:id="93"/>
      <w:bookmarkEnd w:id="94"/>
      <w:bookmarkEnd w:id="95"/>
      <w:bookmarkEnd w:id="96"/>
      <w:bookmarkEnd w:id="97"/>
    </w:p>
    <w:p>
      <w:pPr>
        <w:snapToGrid w:val="0"/>
        <w:spacing w:line="360" w:lineRule="auto"/>
        <w:ind w:firstLine="411" w:firstLineChars="196"/>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.1 投标文件包括本通用条款第1</w:t>
      </w:r>
      <w:r>
        <w:rPr>
          <w:rFonts w:ascii="宋体" w:hAnsi="宋体"/>
          <w:szCs w:val="21"/>
        </w:rPr>
        <w:t>2</w:t>
      </w:r>
      <w:r>
        <w:rPr>
          <w:rFonts w:hint="eastAsia" w:ascii="宋体" w:hAnsi="宋体"/>
          <w:szCs w:val="21"/>
        </w:rPr>
        <w:t>条中规定的内容。如招标文件提供了投标文件格式，则</w:t>
      </w:r>
      <w:r>
        <w:rPr>
          <w:rFonts w:hint="eastAsia" w:ascii="宋体" w:hAnsi="宋体"/>
          <w:b/>
          <w:bCs/>
          <w:szCs w:val="21"/>
        </w:rPr>
        <w:t>投标人提交的投标文件必须毫无例外地使用招标文件所提供的相应格式</w:t>
      </w:r>
      <w:r>
        <w:rPr>
          <w:rFonts w:hint="eastAsia" w:ascii="宋体" w:hAnsi="宋体"/>
          <w:szCs w:val="21"/>
        </w:rPr>
        <w:t>（表格可以按同样格式扩展）。</w:t>
      </w:r>
      <w:bookmarkStart w:id="98" w:name="_Toc73521653"/>
      <w:bookmarkStart w:id="99" w:name="_Toc73521565"/>
      <w:bookmarkStart w:id="100" w:name="_Toc60631638"/>
      <w:bookmarkStart w:id="101" w:name="_Toc73517657"/>
      <w:bookmarkStart w:id="102" w:name="_Toc73518135"/>
      <w:bookmarkStart w:id="103" w:name="_Toc60560643"/>
    </w:p>
    <w:p>
      <w:pPr>
        <w:snapToGrid w:val="0"/>
        <w:spacing w:line="360" w:lineRule="auto"/>
        <w:rPr>
          <w:rFonts w:ascii="黑体" w:hAnsi="宋体" w:eastAsia="黑体"/>
          <w:sz w:val="24"/>
        </w:rPr>
      </w:pPr>
      <w:bookmarkStart w:id="104" w:name="_Toc100052382"/>
      <w:r>
        <w:rPr>
          <w:rFonts w:hint="eastAsia" w:ascii="黑体" w:hAnsi="宋体" w:eastAsia="黑体"/>
          <w:sz w:val="24"/>
        </w:rPr>
        <w:t>14．投标货币</w:t>
      </w:r>
      <w:bookmarkEnd w:id="98"/>
      <w:bookmarkEnd w:id="99"/>
      <w:bookmarkEnd w:id="100"/>
      <w:bookmarkEnd w:id="101"/>
      <w:bookmarkEnd w:id="102"/>
      <w:bookmarkEnd w:id="103"/>
      <w:bookmarkEnd w:id="104"/>
    </w:p>
    <w:p>
      <w:pPr>
        <w:snapToGrid w:val="0"/>
        <w:spacing w:line="360" w:lineRule="auto"/>
        <w:ind w:firstLine="411" w:firstLineChars="196"/>
        <w:rPr>
          <w:rFonts w:ascii="宋体" w:hAnsi="宋体"/>
          <w:szCs w:val="21"/>
        </w:rPr>
      </w:pPr>
      <w:r>
        <w:rPr>
          <w:rFonts w:hint="eastAsia" w:ascii="宋体" w:hAnsi="宋体"/>
          <w:szCs w:val="21"/>
        </w:rPr>
        <w:t>14.1 本项目的投标应以人民币计。</w:t>
      </w:r>
    </w:p>
    <w:p>
      <w:pPr>
        <w:snapToGrid w:val="0"/>
        <w:spacing w:line="360" w:lineRule="auto"/>
        <w:rPr>
          <w:rFonts w:ascii="黑体" w:hAnsi="宋体" w:eastAsia="黑体"/>
          <w:sz w:val="24"/>
        </w:rPr>
      </w:pPr>
      <w:bookmarkStart w:id="105" w:name="_Toc73521654"/>
      <w:bookmarkStart w:id="106" w:name="_Toc60560644"/>
      <w:bookmarkStart w:id="107" w:name="_Toc100052383"/>
      <w:bookmarkStart w:id="108" w:name="_Toc60631639"/>
      <w:bookmarkStart w:id="109" w:name="_Toc73517658"/>
      <w:bookmarkStart w:id="110" w:name="_Toc73521566"/>
      <w:bookmarkStart w:id="111" w:name="_Toc73518136"/>
      <w:r>
        <w:rPr>
          <w:rFonts w:hint="eastAsia" w:ascii="黑体" w:hAnsi="宋体" w:eastAsia="黑体"/>
          <w:sz w:val="24"/>
        </w:rPr>
        <w:t>15．投标有效期</w:t>
      </w:r>
      <w:bookmarkEnd w:id="105"/>
      <w:bookmarkEnd w:id="106"/>
      <w:bookmarkEnd w:id="107"/>
      <w:bookmarkEnd w:id="108"/>
      <w:bookmarkEnd w:id="109"/>
      <w:bookmarkEnd w:id="110"/>
      <w:bookmarkEnd w:id="111"/>
    </w:p>
    <w:p>
      <w:pPr>
        <w:snapToGrid w:val="0"/>
        <w:spacing w:line="360" w:lineRule="auto"/>
        <w:ind w:firstLine="411" w:firstLineChars="196"/>
        <w:rPr>
          <w:rFonts w:ascii="宋体" w:hAnsi="宋体"/>
          <w:szCs w:val="21"/>
        </w:rPr>
      </w:pPr>
      <w:r>
        <w:rPr>
          <w:rFonts w:hint="eastAsia" w:ascii="宋体" w:hAnsi="宋体"/>
          <w:szCs w:val="21"/>
        </w:rPr>
        <w:t>15.1投标有效期为</w:t>
      </w:r>
      <w:r>
        <w:rPr>
          <w:rFonts w:hint="eastAsia" w:ascii="Arial" w:hAnsi="Arial" w:cs="Arial"/>
          <w:szCs w:val="21"/>
        </w:rPr>
        <w:t>从投标截止之日算起</w:t>
      </w:r>
      <w:r>
        <w:rPr>
          <w:rFonts w:hint="eastAsia" w:ascii="Arial" w:hAnsi="Arial" w:cs="Arial"/>
          <w:szCs w:val="21"/>
          <w:u w:val="single"/>
        </w:rPr>
        <w:t>120</w:t>
      </w:r>
      <w:r>
        <w:rPr>
          <w:rFonts w:hint="eastAsia" w:ascii="Arial" w:hAnsi="Arial" w:cs="Arial"/>
          <w:szCs w:val="21"/>
        </w:rPr>
        <w:t>个日历天</w:t>
      </w:r>
      <w:r>
        <w:rPr>
          <w:rFonts w:hint="eastAsia" w:ascii="宋体" w:hAnsi="宋体"/>
          <w:szCs w:val="21"/>
        </w:rPr>
        <w:t>，在此期限内，所有投标文件均保持有效；</w:t>
      </w:r>
    </w:p>
    <w:p>
      <w:pPr>
        <w:snapToGrid w:val="0"/>
        <w:spacing w:line="360" w:lineRule="auto"/>
        <w:ind w:firstLine="411" w:firstLineChars="196"/>
        <w:rPr>
          <w:rFonts w:ascii="宋体" w:hAnsi="宋体"/>
          <w:szCs w:val="21"/>
        </w:rPr>
      </w:pPr>
      <w:r>
        <w:rPr>
          <w:rFonts w:hint="eastAsia" w:ascii="宋体" w:hAnsi="宋体"/>
          <w:szCs w:val="21"/>
        </w:rPr>
        <w:t>15.2在特殊的情况下，政府采购代理机构在原定的投标有效期满之前，政府采购代理机构可以根据需要以书面形式向投标人提出延长投标有效期的要求，对此要求投标人须以书面形式予以答复，投标人可以拒绝政府采购代理机构此项要求，其投标在原投标有效期满后不再有效。同意延长投标有效期的投标人不能要求也不允许修改其投标文件；</w:t>
      </w:r>
    </w:p>
    <w:p>
      <w:pPr>
        <w:snapToGrid w:val="0"/>
        <w:spacing w:line="360" w:lineRule="auto"/>
        <w:ind w:firstLine="411" w:firstLineChars="196"/>
        <w:rPr>
          <w:rFonts w:ascii="宋体" w:hAnsi="宋体"/>
          <w:szCs w:val="21"/>
        </w:rPr>
      </w:pPr>
      <w:r>
        <w:rPr>
          <w:rFonts w:hint="eastAsia" w:ascii="宋体" w:hAnsi="宋体"/>
          <w:szCs w:val="21"/>
        </w:rPr>
        <w:t>15.3中标供应</w:t>
      </w:r>
      <w:r>
        <w:rPr>
          <w:rFonts w:ascii="宋体" w:hAnsi="宋体"/>
          <w:szCs w:val="21"/>
        </w:rPr>
        <w:t>商</w:t>
      </w:r>
      <w:r>
        <w:rPr>
          <w:rFonts w:hint="eastAsia" w:ascii="宋体" w:hAnsi="宋体"/>
          <w:szCs w:val="21"/>
        </w:rPr>
        <w:t>的投标书有效期，截止于完成本招标文件规定的全部项目内容，并通过验收及保修结束。</w:t>
      </w:r>
    </w:p>
    <w:p>
      <w:pPr>
        <w:snapToGrid w:val="0"/>
        <w:spacing w:line="360" w:lineRule="auto"/>
        <w:rPr>
          <w:rFonts w:ascii="黑体" w:hAnsi="宋体" w:eastAsia="黑体"/>
          <w:sz w:val="24"/>
        </w:rPr>
      </w:pPr>
      <w:bookmarkStart w:id="112" w:name="_Toc73521656"/>
      <w:bookmarkStart w:id="113" w:name="_Toc100052385"/>
      <w:bookmarkStart w:id="114" w:name="_Toc60631641"/>
      <w:bookmarkStart w:id="115" w:name="_Toc73518138"/>
      <w:bookmarkStart w:id="116" w:name="_Toc73521568"/>
      <w:bookmarkStart w:id="117" w:name="_Toc73517660"/>
      <w:bookmarkStart w:id="118" w:name="_Toc60560646"/>
      <w:r>
        <w:rPr>
          <w:rFonts w:hint="eastAsia" w:ascii="黑体" w:hAnsi="宋体" w:eastAsia="黑体"/>
          <w:sz w:val="24"/>
        </w:rPr>
        <w:t>16．投标人的替代方案</w:t>
      </w:r>
      <w:bookmarkEnd w:id="112"/>
      <w:bookmarkEnd w:id="113"/>
      <w:bookmarkEnd w:id="114"/>
      <w:bookmarkEnd w:id="115"/>
      <w:bookmarkEnd w:id="116"/>
      <w:bookmarkEnd w:id="117"/>
      <w:bookmarkEnd w:id="118"/>
    </w:p>
    <w:p>
      <w:pPr>
        <w:snapToGrid w:val="0"/>
        <w:spacing w:line="360" w:lineRule="auto"/>
        <w:ind w:firstLine="411" w:firstLineChars="196"/>
        <w:rPr>
          <w:rFonts w:ascii="宋体" w:hAnsi="宋体"/>
          <w:szCs w:val="21"/>
        </w:rPr>
      </w:pPr>
      <w:r>
        <w:rPr>
          <w:rFonts w:hint="eastAsia" w:ascii="宋体" w:hAnsi="宋体"/>
          <w:szCs w:val="21"/>
        </w:rPr>
        <w:t>16.1投标人所提交的投标文件应完全满足招标文件（包括图纸和技术规范所示的基本技术设计）的要求。除非“投标须知前附表”中允许投标人提交替代方案，否则投标人有关替代方案的条款将不予考虑。</w:t>
      </w:r>
    </w:p>
    <w:p>
      <w:pPr>
        <w:snapToGrid w:val="0"/>
        <w:spacing w:line="360" w:lineRule="auto"/>
        <w:ind w:firstLine="411" w:firstLineChars="196"/>
        <w:rPr>
          <w:rFonts w:ascii="宋体" w:hAnsi="宋体"/>
          <w:szCs w:val="21"/>
        </w:rPr>
      </w:pPr>
      <w:r>
        <w:rPr>
          <w:rFonts w:hint="eastAsia" w:ascii="宋体" w:hAnsi="宋体"/>
          <w:szCs w:val="21"/>
        </w:rPr>
        <w:t>16.2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snapToGrid w:val="0"/>
        <w:spacing w:line="360" w:lineRule="auto"/>
        <w:rPr>
          <w:rFonts w:ascii="黑体" w:hAnsi="宋体" w:eastAsia="黑体"/>
          <w:sz w:val="24"/>
        </w:rPr>
      </w:pPr>
      <w:bookmarkStart w:id="119" w:name="_Toc73521657"/>
      <w:bookmarkStart w:id="120" w:name="_Toc100052386"/>
      <w:bookmarkStart w:id="121" w:name="_Toc73518139"/>
      <w:bookmarkStart w:id="122" w:name="_Toc73521569"/>
      <w:bookmarkStart w:id="123" w:name="_Toc73517661"/>
      <w:r>
        <w:rPr>
          <w:rFonts w:hint="eastAsia" w:ascii="黑体" w:hAnsi="宋体" w:eastAsia="黑体"/>
          <w:sz w:val="24"/>
        </w:rPr>
        <w:t>17．</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bookmarkEnd w:id="119"/>
      <w:bookmarkEnd w:id="120"/>
      <w:bookmarkEnd w:id="121"/>
      <w:bookmarkEnd w:id="122"/>
      <w:bookmarkEnd w:id="123"/>
    </w:p>
    <w:p>
      <w:pPr>
        <w:snapToGrid w:val="0"/>
        <w:spacing w:line="360" w:lineRule="auto"/>
        <w:ind w:firstLine="420" w:firstLineChars="200"/>
        <w:rPr>
          <w:rFonts w:ascii="宋体" w:hAnsi="宋体"/>
          <w:szCs w:val="21"/>
        </w:rPr>
      </w:pPr>
      <w:r>
        <w:rPr>
          <w:rFonts w:hint="eastAsia" w:ascii="宋体" w:hAnsi="宋体"/>
          <w:szCs w:val="21"/>
        </w:rPr>
        <w:t>17.1投标人应当按《投标须知前附表》中规定的份数制作所投招标项目的纸质投标文件，用于现场投标。</w:t>
      </w:r>
    </w:p>
    <w:p>
      <w:pPr>
        <w:snapToGrid w:val="0"/>
        <w:spacing w:line="360" w:lineRule="auto"/>
        <w:ind w:firstLine="420" w:firstLineChars="200"/>
        <w:rPr>
          <w:rFonts w:ascii="宋体" w:hAnsi="宋体"/>
          <w:szCs w:val="21"/>
        </w:rPr>
      </w:pPr>
      <w:r>
        <w:rPr>
          <w:rFonts w:hint="eastAsia" w:ascii="宋体" w:hAnsi="宋体"/>
          <w:szCs w:val="21"/>
        </w:rPr>
        <w:t>17.2 纸质投标文件须根据友和保险经纪有限公司编制的投标文件模板，按照其要求编制。</w:t>
      </w:r>
    </w:p>
    <w:p>
      <w:pPr>
        <w:snapToGrid w:val="0"/>
        <w:spacing w:line="360" w:lineRule="auto"/>
        <w:ind w:firstLine="420" w:firstLineChars="200"/>
        <w:rPr>
          <w:rFonts w:ascii="宋体" w:hAnsi="宋体"/>
          <w:szCs w:val="21"/>
        </w:rPr>
      </w:pPr>
      <w:r>
        <w:rPr>
          <w:rFonts w:hint="eastAsia" w:ascii="宋体" w:hAnsi="宋体"/>
          <w:szCs w:val="21"/>
        </w:rPr>
        <w:t>17.3 投标人在利用投标文件模板编制投标文件时须注意：</w:t>
      </w:r>
    </w:p>
    <w:p>
      <w:pPr>
        <w:snapToGrid w:val="0"/>
        <w:spacing w:line="360" w:lineRule="auto"/>
        <w:ind w:firstLine="420" w:firstLineChars="200"/>
        <w:rPr>
          <w:rFonts w:ascii="宋体" w:hAnsi="宋体"/>
          <w:szCs w:val="21"/>
        </w:rPr>
      </w:pPr>
      <w:r>
        <w:rPr>
          <w:rFonts w:hint="eastAsia" w:ascii="宋体" w:hAnsi="宋体"/>
          <w:szCs w:val="21"/>
        </w:rPr>
        <w:t>17.3.1除模板中要求填写、添加的内容外，不得对其他文字内容做任何改动。如果因操作失误而改动的，以模板中的文字叙述为准。</w:t>
      </w:r>
    </w:p>
    <w:p>
      <w:pPr>
        <w:snapToGrid w:val="0"/>
        <w:spacing w:line="360" w:lineRule="auto"/>
        <w:ind w:firstLine="420" w:firstLineChars="200"/>
        <w:rPr>
          <w:rFonts w:ascii="宋体" w:hAnsi="宋体"/>
          <w:szCs w:val="21"/>
        </w:rPr>
      </w:pPr>
      <w:r>
        <w:rPr>
          <w:rFonts w:hint="eastAsia" w:ascii="宋体" w:hAnsi="宋体"/>
          <w:szCs w:val="21"/>
        </w:rPr>
        <w:t>17.3.2 投标文件项目编号、包号应与招标文件项目编号、包号一致。</w:t>
      </w:r>
    </w:p>
    <w:p>
      <w:pPr>
        <w:snapToGrid w:val="0"/>
        <w:spacing w:line="360" w:lineRule="auto"/>
        <w:ind w:firstLine="420" w:firstLineChars="200"/>
        <w:rPr>
          <w:rFonts w:ascii="宋体" w:hAnsi="宋体"/>
          <w:szCs w:val="21"/>
        </w:rPr>
      </w:pPr>
      <w:r>
        <w:rPr>
          <w:rFonts w:hint="eastAsia" w:ascii="宋体" w:hAnsi="宋体"/>
          <w:szCs w:val="21"/>
        </w:rPr>
        <w:t>17.3.3 必须完整、准确填写投标文件模板要求填写内容，不能填写如“*、\、[、&amp;、”等特殊字符。模板固定的格式内容和文字叙述，不得改变，如果因改变叙述而与模板的原叙述相冲突者，以模板的叙述为准。</w:t>
      </w:r>
    </w:p>
    <w:p>
      <w:pPr>
        <w:snapToGrid w:val="0"/>
        <w:spacing w:line="360" w:lineRule="auto"/>
        <w:ind w:firstLine="420" w:firstLineChars="200"/>
        <w:rPr>
          <w:rFonts w:ascii="宋体" w:hAnsi="宋体"/>
          <w:szCs w:val="21"/>
        </w:rPr>
      </w:pPr>
      <w:r>
        <w:rPr>
          <w:rFonts w:hint="eastAsia" w:ascii="宋体" w:hAnsi="宋体"/>
          <w:szCs w:val="21"/>
        </w:rPr>
        <w:t>17.3.4 投标文件所提供的证明材料须清晰，若提供的证明材料不清晰，将可能以不利于投标人的判断进行处理。</w:t>
      </w:r>
    </w:p>
    <w:p>
      <w:pPr>
        <w:snapToGrid w:val="0"/>
        <w:spacing w:line="360" w:lineRule="auto"/>
        <w:ind w:firstLine="315" w:firstLineChars="150"/>
        <w:rPr>
          <w:rFonts w:ascii="宋体" w:hAnsi="宋体"/>
          <w:szCs w:val="21"/>
        </w:rPr>
      </w:pPr>
    </w:p>
    <w:p>
      <w:pPr>
        <w:pStyle w:val="5"/>
        <w:spacing w:line="360" w:lineRule="auto"/>
        <w:jc w:val="center"/>
      </w:pPr>
      <w:bookmarkStart w:id="124" w:name="_Toc73518140"/>
      <w:bookmarkStart w:id="125" w:name="_Toc101074880"/>
      <w:bookmarkStart w:id="126" w:name="_Toc100052387"/>
      <w:bookmarkStart w:id="127" w:name="_Toc73521658"/>
      <w:bookmarkStart w:id="128" w:name="_Toc73521570"/>
      <w:bookmarkStart w:id="129" w:name="_Toc73517662"/>
      <w:bookmarkStart w:id="130" w:name="_Toc15769"/>
      <w:r>
        <w:rPr>
          <w:rFonts w:hint="eastAsia"/>
        </w:rPr>
        <w:t>第四章投标文件</w:t>
      </w:r>
      <w:bookmarkEnd w:id="124"/>
      <w:bookmarkEnd w:id="125"/>
      <w:bookmarkEnd w:id="126"/>
      <w:bookmarkEnd w:id="127"/>
      <w:bookmarkEnd w:id="128"/>
      <w:bookmarkEnd w:id="129"/>
      <w:r>
        <w:rPr>
          <w:rFonts w:hint="eastAsia"/>
        </w:rPr>
        <w:t>的递交</w:t>
      </w:r>
      <w:bookmarkEnd w:id="130"/>
    </w:p>
    <w:p>
      <w:pPr>
        <w:snapToGrid w:val="0"/>
        <w:spacing w:line="360" w:lineRule="auto"/>
        <w:rPr>
          <w:rFonts w:ascii="黑体" w:hAnsi="宋体" w:eastAsia="黑体"/>
          <w:sz w:val="24"/>
        </w:rPr>
      </w:pPr>
      <w:bookmarkStart w:id="131" w:name="_Toc73518141"/>
      <w:bookmarkStart w:id="132" w:name="_Toc100052388"/>
      <w:bookmarkStart w:id="133" w:name="_Toc60631644"/>
      <w:bookmarkStart w:id="134" w:name="_Toc73521659"/>
      <w:bookmarkStart w:id="135" w:name="_Toc60560649"/>
      <w:bookmarkStart w:id="136" w:name="_Toc73521571"/>
      <w:bookmarkStart w:id="137" w:name="_Toc73517663"/>
      <w:r>
        <w:rPr>
          <w:rFonts w:hint="eastAsia" w:ascii="黑体" w:hAnsi="宋体" w:eastAsia="黑体"/>
          <w:sz w:val="24"/>
        </w:rPr>
        <w:t>18．投标文件的递交</w:t>
      </w:r>
    </w:p>
    <w:p>
      <w:pPr>
        <w:snapToGrid w:val="0"/>
        <w:spacing w:line="360" w:lineRule="auto"/>
        <w:ind w:firstLine="420" w:firstLineChars="200"/>
        <w:rPr>
          <w:rFonts w:ascii="宋体" w:hAnsi="宋体"/>
          <w:szCs w:val="21"/>
        </w:rPr>
      </w:pPr>
      <w:r>
        <w:rPr>
          <w:rFonts w:hint="eastAsia" w:ascii="宋体" w:hAnsi="宋体"/>
          <w:szCs w:val="21"/>
        </w:rPr>
        <w:t>18.1</w:t>
      </w:r>
      <w:r>
        <w:rPr>
          <w:rFonts w:hint="eastAsia"/>
        </w:rPr>
        <w:t>投标文件的装订和签署</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18.1.1投标文件由三部分组成，</w:t>
      </w:r>
      <w:r>
        <w:rPr>
          <w:rFonts w:hint="eastAsia" w:ascii="宋体" w:hAnsi="宋体"/>
          <w:b/>
          <w:bCs/>
          <w:szCs w:val="21"/>
        </w:rPr>
        <w:t>第一部分</w:t>
      </w:r>
      <w:r>
        <w:rPr>
          <w:rFonts w:hint="eastAsia" w:ascii="宋体" w:hAnsi="宋体"/>
          <w:szCs w:val="21"/>
        </w:rPr>
        <w:t>为一式六份装订成册的纸质投标文件，其中，</w:t>
      </w:r>
      <w:r>
        <w:rPr>
          <w:rFonts w:hint="eastAsia" w:ascii="宋体" w:hAnsi="宋体"/>
          <w:b/>
          <w:bCs/>
          <w:szCs w:val="21"/>
        </w:rPr>
        <w:t>正本</w:t>
      </w:r>
      <w:r>
        <w:rPr>
          <w:rFonts w:hint="eastAsia" w:ascii="宋体" w:hAnsi="宋体"/>
          <w:b/>
          <w:bCs/>
          <w:szCs w:val="21"/>
          <w:u w:val="single"/>
        </w:rPr>
        <w:t>一</w:t>
      </w:r>
      <w:r>
        <w:rPr>
          <w:rFonts w:hint="eastAsia" w:ascii="宋体" w:hAnsi="宋体"/>
          <w:b/>
          <w:bCs/>
          <w:szCs w:val="21"/>
        </w:rPr>
        <w:t>份、副本</w:t>
      </w:r>
      <w:r>
        <w:rPr>
          <w:rFonts w:hint="eastAsia" w:ascii="宋体" w:hAnsi="宋体"/>
          <w:b/>
          <w:bCs/>
          <w:szCs w:val="21"/>
          <w:u w:val="single"/>
        </w:rPr>
        <w:t>五</w:t>
      </w:r>
      <w:r>
        <w:rPr>
          <w:rFonts w:hint="eastAsia" w:ascii="宋体" w:hAnsi="宋体"/>
          <w:b/>
          <w:bCs/>
          <w:szCs w:val="21"/>
        </w:rPr>
        <w:t>份</w:t>
      </w:r>
      <w:r>
        <w:rPr>
          <w:rFonts w:hint="eastAsia" w:ascii="宋体" w:hAnsi="宋体"/>
          <w:szCs w:val="21"/>
        </w:rPr>
        <w:t>；</w:t>
      </w:r>
      <w:r>
        <w:rPr>
          <w:rFonts w:hint="eastAsia" w:ascii="宋体" w:hAnsi="宋体"/>
          <w:b/>
          <w:bCs/>
          <w:szCs w:val="21"/>
        </w:rPr>
        <w:t>第二部分</w:t>
      </w:r>
      <w:r>
        <w:rPr>
          <w:rFonts w:hint="eastAsia" w:ascii="宋体" w:hAnsi="宋体"/>
          <w:szCs w:val="21"/>
        </w:rPr>
        <w:t>为</w:t>
      </w:r>
      <w:r>
        <w:rPr>
          <w:rFonts w:hint="eastAsia" w:ascii="宋体" w:hAnsi="宋体"/>
          <w:b/>
          <w:color w:val="FF0000"/>
          <w:szCs w:val="21"/>
        </w:rPr>
        <w:t>以光盘、U盘或硬盘等移动存储介质</w:t>
      </w:r>
      <w:r>
        <w:rPr>
          <w:rFonts w:hint="eastAsia" w:ascii="宋体" w:hAnsi="宋体"/>
          <w:szCs w:val="21"/>
        </w:rPr>
        <w:t>提交的一份加盖公章的PDF电子投标文件。电子投标文件内容应与纸质投标文件</w:t>
      </w:r>
      <w:r>
        <w:rPr>
          <w:rFonts w:hint="eastAsia" w:ascii="宋体" w:hAnsi="宋体"/>
          <w:b/>
          <w:bCs/>
          <w:szCs w:val="21"/>
        </w:rPr>
        <w:t>正本</w:t>
      </w:r>
      <w:r>
        <w:rPr>
          <w:rFonts w:hint="eastAsia" w:ascii="宋体" w:hAnsi="宋体"/>
          <w:szCs w:val="21"/>
        </w:rPr>
        <w:t>内容一致，如有差异以纸质投标文件</w:t>
      </w:r>
      <w:r>
        <w:rPr>
          <w:rFonts w:hint="eastAsia" w:ascii="宋体" w:hAnsi="宋体"/>
          <w:b/>
          <w:bCs/>
          <w:szCs w:val="21"/>
        </w:rPr>
        <w:t>正本</w:t>
      </w:r>
      <w:r>
        <w:rPr>
          <w:rFonts w:hint="eastAsia" w:ascii="宋体" w:hAnsi="宋体"/>
          <w:szCs w:val="21"/>
        </w:rPr>
        <w:t>为准；</w:t>
      </w:r>
      <w:r>
        <w:rPr>
          <w:rFonts w:hint="eastAsia" w:ascii="宋体" w:hAnsi="宋体"/>
          <w:b/>
          <w:bCs/>
          <w:szCs w:val="21"/>
        </w:rPr>
        <w:t>第三部分</w:t>
      </w:r>
      <w:r>
        <w:rPr>
          <w:rFonts w:hint="eastAsia" w:ascii="宋体" w:hAnsi="宋体"/>
          <w:szCs w:val="21"/>
        </w:rPr>
        <w:t xml:space="preserve">为开标时唱标用的《开标一览表》。该表内容应与投标文件中的《开标一览表》内容一致，如有差异以唱标用的《开标一览表》内容为准。表格应按招标文件要求签署并加盖公章。 </w:t>
      </w:r>
    </w:p>
    <w:p>
      <w:pPr>
        <w:snapToGrid w:val="0"/>
        <w:spacing w:line="360" w:lineRule="auto"/>
        <w:ind w:firstLine="420" w:firstLineChars="200"/>
        <w:rPr>
          <w:rFonts w:ascii="宋体" w:hAnsi="宋体"/>
          <w:szCs w:val="21"/>
        </w:rPr>
      </w:pPr>
      <w:r>
        <w:rPr>
          <w:rFonts w:hint="eastAsia" w:ascii="宋体" w:hAnsi="宋体"/>
          <w:szCs w:val="21"/>
        </w:rPr>
        <w:t>18.2</w:t>
      </w:r>
      <w:r>
        <w:rPr>
          <w:rFonts w:ascii="宋体" w:hAnsi="宋体"/>
          <w:szCs w:val="21"/>
        </w:rPr>
        <w:t>投标文件的密封和标记</w:t>
      </w:r>
    </w:p>
    <w:p>
      <w:pPr>
        <w:snapToGrid w:val="0"/>
        <w:spacing w:line="360" w:lineRule="auto"/>
        <w:ind w:firstLine="420" w:firstLineChars="200"/>
        <w:rPr>
          <w:rFonts w:ascii="宋体" w:hAnsi="宋体"/>
          <w:szCs w:val="21"/>
        </w:rPr>
      </w:pPr>
      <w:r>
        <w:rPr>
          <w:rFonts w:hint="eastAsia" w:ascii="宋体" w:hAnsi="宋体"/>
          <w:szCs w:val="21"/>
        </w:rPr>
        <w:t>18.2.1投标人递交的投标文件应由两个单独的密封袋组成，一个密封袋装唱标用的《开标一览表》，一个密封袋装纸质投标文件及电子投标文件。</w:t>
      </w:r>
    </w:p>
    <w:p>
      <w:pPr>
        <w:snapToGrid w:val="0"/>
        <w:spacing w:line="360" w:lineRule="auto"/>
        <w:ind w:firstLine="420" w:firstLineChars="200"/>
        <w:rPr>
          <w:rFonts w:ascii="宋体" w:hAnsi="宋体"/>
          <w:szCs w:val="21"/>
        </w:rPr>
      </w:pPr>
      <w:r>
        <w:rPr>
          <w:rFonts w:hint="eastAsia" w:ascii="宋体" w:hAnsi="宋体"/>
          <w:szCs w:val="21"/>
        </w:rPr>
        <w:t>18.2.2《开标一览表》作为开标时唱标的依据，除按格式要求放入投标文件中外，还应另行单独密封提交一份，在封口密封处加盖公章（或密封封口处粘贴封条并加盖投标单位公章），并在信封上标明“开标一览表”字样。</w:t>
      </w:r>
    </w:p>
    <w:p>
      <w:pPr>
        <w:snapToGrid w:val="0"/>
        <w:spacing w:line="360" w:lineRule="auto"/>
        <w:ind w:firstLine="420" w:firstLineChars="200"/>
        <w:rPr>
          <w:rFonts w:ascii="宋体" w:hAnsi="宋体"/>
          <w:szCs w:val="21"/>
          <w:lang w:val="zh-CN"/>
        </w:rPr>
      </w:pPr>
      <w:r>
        <w:rPr>
          <w:rFonts w:hint="eastAsia" w:ascii="宋体" w:hAnsi="宋体"/>
          <w:szCs w:val="21"/>
        </w:rPr>
        <w:t>18.2.3投标文件正本、所有的副本和电子投标文件应统一封装在一个信封中，信封密封封口处须加盖投标单位公章（或信封密封封口处粘贴封条并加盖投标单位公章）。</w:t>
      </w:r>
    </w:p>
    <w:p>
      <w:pPr>
        <w:snapToGrid w:val="0"/>
        <w:spacing w:line="360" w:lineRule="auto"/>
        <w:ind w:firstLine="420" w:firstLineChars="200"/>
        <w:rPr>
          <w:rFonts w:ascii="宋体" w:hAnsi="宋体"/>
          <w:szCs w:val="21"/>
        </w:rPr>
      </w:pPr>
      <w:r>
        <w:rPr>
          <w:rFonts w:hint="eastAsia" w:ascii="宋体" w:hAnsi="宋体"/>
          <w:szCs w:val="21"/>
        </w:rPr>
        <w:t>18.2.4密封包上注明按“投标须知前附表”所规定的开标时间（指招标公告中规定的开标时间）前不准启封的字样。</w:t>
      </w:r>
    </w:p>
    <w:p>
      <w:pPr>
        <w:snapToGrid w:val="0"/>
        <w:spacing w:line="360" w:lineRule="auto"/>
        <w:ind w:firstLine="420" w:firstLineChars="200"/>
        <w:rPr>
          <w:rFonts w:ascii="宋体" w:hAnsi="宋体"/>
          <w:szCs w:val="21"/>
        </w:rPr>
      </w:pPr>
      <w:r>
        <w:rPr>
          <w:rFonts w:hint="eastAsia" w:ascii="宋体" w:hAnsi="宋体"/>
          <w:szCs w:val="21"/>
        </w:rPr>
        <w:t>18.3 投标文件的递交</w:t>
      </w:r>
    </w:p>
    <w:p>
      <w:pPr>
        <w:snapToGrid w:val="0"/>
        <w:spacing w:line="360" w:lineRule="auto"/>
        <w:ind w:firstLine="420" w:firstLineChars="200"/>
        <w:rPr>
          <w:rFonts w:ascii="宋体" w:hAnsi="宋体"/>
          <w:szCs w:val="21"/>
        </w:rPr>
      </w:pPr>
      <w:r>
        <w:rPr>
          <w:rFonts w:hint="eastAsia" w:ascii="宋体" w:hAnsi="宋体"/>
          <w:szCs w:val="21"/>
        </w:rPr>
        <w:t>18.3.1如投标文件由专人送交，投标方应将投标文件按第18.2款中的规定进行密封和标记后，按招标公告注明的地址送至招标机构。</w:t>
      </w:r>
    </w:p>
    <w:p>
      <w:pPr>
        <w:snapToGrid w:val="0"/>
        <w:spacing w:line="360" w:lineRule="auto"/>
        <w:ind w:firstLine="420" w:firstLineChars="200"/>
        <w:rPr>
          <w:rFonts w:ascii="宋体" w:hAnsi="宋体"/>
          <w:szCs w:val="21"/>
        </w:rPr>
      </w:pPr>
      <w:r>
        <w:rPr>
          <w:rFonts w:hint="eastAsia" w:ascii="宋体" w:hAnsi="宋体"/>
          <w:szCs w:val="21"/>
        </w:rPr>
        <w:t>18.3.2邮寄、电报、电话、传真形式的投标概不接受。</w:t>
      </w:r>
    </w:p>
    <w:p>
      <w:pPr>
        <w:snapToGrid w:val="0"/>
        <w:spacing w:line="360" w:lineRule="auto"/>
        <w:rPr>
          <w:rFonts w:ascii="宋体" w:hAnsi="宋体"/>
          <w:szCs w:val="21"/>
        </w:rPr>
      </w:pPr>
      <w:r>
        <w:rPr>
          <w:rFonts w:hint="eastAsia" w:ascii="宋体" w:hAnsi="宋体"/>
          <w:szCs w:val="21"/>
        </w:rPr>
        <w:t xml:space="preserve">    18.4投标截止时间</w:t>
      </w:r>
    </w:p>
    <w:p>
      <w:pPr>
        <w:snapToGrid w:val="0"/>
        <w:spacing w:line="360" w:lineRule="auto"/>
        <w:ind w:firstLine="420" w:firstLineChars="200"/>
        <w:rPr>
          <w:rFonts w:ascii="宋体" w:hAnsi="宋体"/>
          <w:szCs w:val="21"/>
        </w:rPr>
      </w:pPr>
      <w:r>
        <w:rPr>
          <w:rFonts w:hint="eastAsia" w:ascii="宋体" w:hAnsi="宋体"/>
          <w:szCs w:val="21"/>
        </w:rPr>
        <w:t>招标机构在招标公告规定的地址收到投标文件的时间不得迟于招标公告所规定的时间。</w:t>
      </w:r>
    </w:p>
    <w:p>
      <w:pPr>
        <w:snapToGrid w:val="0"/>
        <w:spacing w:line="360" w:lineRule="auto"/>
        <w:rPr>
          <w:rFonts w:ascii="宋体" w:hAnsi="宋体"/>
          <w:szCs w:val="21"/>
        </w:rPr>
      </w:pPr>
      <w:r>
        <w:rPr>
          <w:rFonts w:hint="eastAsia" w:ascii="宋体" w:hAnsi="宋体"/>
          <w:szCs w:val="21"/>
        </w:rPr>
        <w:t xml:space="preserve">    18.5迟交的投标文件</w:t>
      </w:r>
    </w:p>
    <w:p>
      <w:pPr>
        <w:snapToGrid w:val="0"/>
        <w:spacing w:line="360" w:lineRule="auto"/>
        <w:rPr>
          <w:rFonts w:ascii="宋体" w:hAnsi="宋体"/>
          <w:szCs w:val="21"/>
        </w:rPr>
      </w:pPr>
      <w:r>
        <w:rPr>
          <w:rFonts w:hint="eastAsia" w:ascii="宋体" w:hAnsi="宋体"/>
          <w:szCs w:val="21"/>
        </w:rPr>
        <w:t xml:space="preserve">    按照本通用条款第18.4款规定，招标机构将拒绝并原封退回在其规定的投标截止期后收到的任何投标文件。</w:t>
      </w:r>
    </w:p>
    <w:p>
      <w:pPr>
        <w:snapToGrid w:val="0"/>
        <w:spacing w:line="360" w:lineRule="auto"/>
        <w:rPr>
          <w:rFonts w:ascii="黑体" w:hAnsi="宋体" w:eastAsia="黑体"/>
          <w:sz w:val="24"/>
        </w:rPr>
      </w:pPr>
      <w:r>
        <w:rPr>
          <w:rFonts w:hint="eastAsia" w:ascii="黑体" w:hAnsi="宋体" w:eastAsia="黑体"/>
          <w:sz w:val="24"/>
        </w:rPr>
        <w:t>19．</w:t>
      </w:r>
      <w:r>
        <w:rPr>
          <w:rFonts w:ascii="黑体" w:hAnsi="宋体" w:eastAsia="黑体"/>
          <w:sz w:val="24"/>
        </w:rPr>
        <w:t>投标文件的修改和撤销</w:t>
      </w:r>
    </w:p>
    <w:bookmarkEnd w:id="131"/>
    <w:bookmarkEnd w:id="132"/>
    <w:bookmarkEnd w:id="133"/>
    <w:bookmarkEnd w:id="134"/>
    <w:bookmarkEnd w:id="135"/>
    <w:bookmarkEnd w:id="136"/>
    <w:bookmarkEnd w:id="137"/>
    <w:p>
      <w:pPr>
        <w:snapToGrid w:val="0"/>
        <w:spacing w:line="360" w:lineRule="auto"/>
        <w:ind w:firstLine="420" w:firstLineChars="200"/>
        <w:rPr>
          <w:rFonts w:ascii="宋体" w:hAnsi="宋体"/>
          <w:szCs w:val="21"/>
        </w:rPr>
      </w:pPr>
      <w:r>
        <w:rPr>
          <w:rFonts w:hint="eastAsia" w:ascii="宋体" w:hAnsi="宋体"/>
          <w:szCs w:val="21"/>
        </w:rPr>
        <w:t>19.1 投标人在递交投标文件后，可以在规定的投标截止期之前修改或撤回其投标文件，但必须书面通知招标机构。</w:t>
      </w:r>
    </w:p>
    <w:p>
      <w:pPr>
        <w:snapToGrid w:val="0"/>
        <w:spacing w:line="360" w:lineRule="auto"/>
        <w:ind w:firstLine="420" w:firstLineChars="200"/>
        <w:rPr>
          <w:rFonts w:ascii="宋体" w:hAnsi="宋体"/>
          <w:szCs w:val="21"/>
        </w:rPr>
      </w:pPr>
      <w:r>
        <w:rPr>
          <w:rFonts w:hint="eastAsia" w:ascii="宋体" w:hAnsi="宋体"/>
          <w:szCs w:val="21"/>
        </w:rPr>
        <w:t>19.2 投标人的修改或撤回通知书应参照本通用条款第18.2、18.3款规定编制、密封、标记和发送，并应在封套上加注“修改”或“撤回”字样。撤回的投标文件将原封退回投标人。</w:t>
      </w:r>
    </w:p>
    <w:p>
      <w:pPr>
        <w:snapToGrid w:val="0"/>
        <w:spacing w:line="360" w:lineRule="auto"/>
        <w:ind w:firstLine="420" w:firstLineChars="200"/>
        <w:rPr>
          <w:rFonts w:ascii="宋体" w:hAnsi="宋体"/>
          <w:szCs w:val="21"/>
        </w:rPr>
      </w:pPr>
      <w:r>
        <w:rPr>
          <w:rFonts w:hint="eastAsia" w:ascii="宋体" w:hAnsi="宋体"/>
          <w:szCs w:val="21"/>
        </w:rPr>
        <w:t>19.3 在投标截止期之后，投标人不得对其投标文件做任何修改。</w:t>
      </w:r>
    </w:p>
    <w:p>
      <w:pPr>
        <w:snapToGrid w:val="0"/>
        <w:spacing w:line="360" w:lineRule="auto"/>
        <w:ind w:firstLine="420" w:firstLineChars="200"/>
        <w:rPr>
          <w:rFonts w:ascii="宋体" w:hAnsi="宋体"/>
          <w:szCs w:val="21"/>
        </w:rPr>
      </w:pPr>
      <w:r>
        <w:rPr>
          <w:rFonts w:hint="eastAsia" w:ascii="宋体" w:hAnsi="宋体"/>
          <w:szCs w:val="21"/>
        </w:rPr>
        <w:t>19.4 在本通用条款第18.4款规定的投标截止期至本通用条款第15条规定的投标有效期期满之间的这段时间内，投标人不得撤回其投标。</w:t>
      </w:r>
    </w:p>
    <w:p>
      <w:pPr>
        <w:pStyle w:val="5"/>
        <w:spacing w:line="360" w:lineRule="auto"/>
        <w:jc w:val="center"/>
      </w:pPr>
      <w:bookmarkStart w:id="138" w:name="_Toc100052391"/>
      <w:bookmarkStart w:id="139" w:name="_Toc101074881"/>
      <w:bookmarkStart w:id="140" w:name="_Toc73521662"/>
      <w:bookmarkStart w:id="141" w:name="_Toc4942"/>
      <w:bookmarkStart w:id="142" w:name="_Toc73521574"/>
      <w:bookmarkStart w:id="143" w:name="_Toc73517666"/>
      <w:bookmarkStart w:id="144" w:name="_Toc73518144"/>
      <w:r>
        <w:rPr>
          <w:rFonts w:hint="eastAsia"/>
        </w:rPr>
        <w:t>第五章开标</w:t>
      </w:r>
      <w:bookmarkEnd w:id="138"/>
      <w:bookmarkEnd w:id="139"/>
      <w:bookmarkEnd w:id="140"/>
      <w:bookmarkEnd w:id="141"/>
      <w:bookmarkEnd w:id="142"/>
      <w:bookmarkEnd w:id="143"/>
      <w:bookmarkEnd w:id="144"/>
    </w:p>
    <w:p>
      <w:pPr>
        <w:snapToGrid w:val="0"/>
        <w:spacing w:line="360" w:lineRule="auto"/>
        <w:rPr>
          <w:rFonts w:ascii="黑体" w:hAnsi="宋体" w:eastAsia="黑体"/>
          <w:sz w:val="24"/>
        </w:rPr>
      </w:pPr>
      <w:bookmarkStart w:id="145" w:name="_Toc73521575"/>
      <w:bookmarkStart w:id="146" w:name="_Toc100052392"/>
      <w:bookmarkStart w:id="147" w:name="_Toc73521663"/>
      <w:bookmarkStart w:id="148" w:name="_Toc60631650"/>
      <w:bookmarkStart w:id="149" w:name="_Toc73517667"/>
      <w:bookmarkStart w:id="150" w:name="_Toc73518145"/>
      <w:bookmarkStart w:id="151" w:name="_Toc60560655"/>
      <w:r>
        <w:rPr>
          <w:rFonts w:hint="eastAsia" w:ascii="黑体" w:hAnsi="宋体" w:eastAsia="黑体"/>
          <w:sz w:val="24"/>
        </w:rPr>
        <w:t>20．开标</w:t>
      </w:r>
      <w:bookmarkEnd w:id="145"/>
      <w:bookmarkEnd w:id="146"/>
      <w:bookmarkEnd w:id="147"/>
      <w:bookmarkEnd w:id="148"/>
      <w:bookmarkEnd w:id="149"/>
      <w:bookmarkEnd w:id="150"/>
      <w:bookmarkEnd w:id="151"/>
    </w:p>
    <w:p>
      <w:pPr>
        <w:snapToGrid w:val="0"/>
        <w:spacing w:line="360" w:lineRule="auto"/>
        <w:ind w:firstLine="411" w:firstLineChars="196"/>
        <w:rPr>
          <w:rFonts w:ascii="宋体" w:hAnsi="宋体"/>
          <w:szCs w:val="21"/>
        </w:rPr>
      </w:pPr>
      <w:bookmarkStart w:id="152" w:name="bt评标"/>
      <w:bookmarkEnd w:id="152"/>
      <w:bookmarkStart w:id="153" w:name="_Toc73521664"/>
      <w:bookmarkStart w:id="154" w:name="_Toc73518146"/>
      <w:bookmarkStart w:id="155" w:name="_Toc73521576"/>
      <w:bookmarkStart w:id="156" w:name="_Toc73517668"/>
      <w:bookmarkStart w:id="157" w:name="_Toc101074882"/>
      <w:bookmarkStart w:id="158" w:name="_Toc100052393"/>
      <w:r>
        <w:rPr>
          <w:rFonts w:hint="eastAsia" w:ascii="宋体" w:hAnsi="宋体"/>
          <w:szCs w:val="21"/>
        </w:rPr>
        <w:t>20.1 招标机构将按“招标公告”规定的时间和地点组织公开开标。投标人应委派代表参加，参加开标的代表应签名报到以证明出席。</w:t>
      </w:r>
    </w:p>
    <w:p>
      <w:pPr>
        <w:snapToGrid w:val="0"/>
        <w:spacing w:line="360" w:lineRule="auto"/>
        <w:ind w:firstLine="411" w:firstLineChars="196"/>
        <w:rPr>
          <w:rFonts w:ascii="宋体" w:hAnsi="宋体"/>
          <w:szCs w:val="21"/>
        </w:rPr>
      </w:pPr>
      <w:r>
        <w:rPr>
          <w:rFonts w:hint="eastAsia" w:ascii="宋体" w:hAnsi="宋体"/>
          <w:szCs w:val="21"/>
        </w:rPr>
        <w:t>20.2 开标时，招标机构将当众宣读投标人名称、修改和撤回投标的通知、开标一览表（以招标文件规定的开标一览表内容为准）。投标文件中开标一览表内容与投标报价明细表内容不一致的，以开标一览表为准。</w:t>
      </w:r>
    </w:p>
    <w:p>
      <w:pPr>
        <w:snapToGrid w:val="0"/>
        <w:spacing w:line="360" w:lineRule="auto"/>
        <w:ind w:firstLine="411" w:firstLineChars="196"/>
        <w:rPr>
          <w:rFonts w:ascii="宋体" w:hAnsi="宋体"/>
          <w:szCs w:val="21"/>
        </w:rPr>
      </w:pPr>
      <w:r>
        <w:rPr>
          <w:rFonts w:hint="eastAsia" w:ascii="宋体" w:hAnsi="宋体"/>
          <w:szCs w:val="21"/>
        </w:rPr>
        <w:t>除了按照本通用条款第18条规定原封退回的投标之外，开标时将不得拒绝任何投标文件。</w:t>
      </w:r>
    </w:p>
    <w:p>
      <w:pPr>
        <w:snapToGrid w:val="0"/>
        <w:spacing w:line="360" w:lineRule="auto"/>
        <w:ind w:firstLine="420" w:firstLineChars="200"/>
        <w:rPr>
          <w:rFonts w:ascii="宋体" w:hAnsi="宋体"/>
          <w:szCs w:val="21"/>
        </w:rPr>
      </w:pPr>
      <w:r>
        <w:rPr>
          <w:rFonts w:hint="eastAsia" w:ascii="宋体" w:hAnsi="宋体"/>
          <w:szCs w:val="21"/>
        </w:rPr>
        <w:t>20.3按照本通用条款第20条规定，提交了可接受的“撤回”通知的投标将不予开封。</w:t>
      </w:r>
    </w:p>
    <w:p>
      <w:pPr>
        <w:snapToGrid w:val="0"/>
        <w:spacing w:line="360" w:lineRule="auto"/>
        <w:ind w:firstLine="420" w:firstLineChars="200"/>
        <w:rPr>
          <w:rFonts w:ascii="宋体" w:hAnsi="宋体"/>
          <w:szCs w:val="21"/>
        </w:rPr>
      </w:pPr>
      <w:r>
        <w:rPr>
          <w:rFonts w:hint="eastAsia" w:ascii="宋体" w:hAnsi="宋体"/>
          <w:szCs w:val="21"/>
        </w:rPr>
        <w:t>20.4无论如何在开标时没有启封和读出的投标文件在评标时将不予考虑。撤回的投标文件将原封退回投标人。</w:t>
      </w:r>
    </w:p>
    <w:p>
      <w:pPr>
        <w:snapToGrid w:val="0"/>
        <w:spacing w:line="360" w:lineRule="auto"/>
        <w:ind w:firstLine="420" w:firstLineChars="200"/>
        <w:rPr>
          <w:rFonts w:ascii="宋体" w:hAnsi="宋体"/>
          <w:szCs w:val="21"/>
        </w:rPr>
      </w:pPr>
      <w:r>
        <w:rPr>
          <w:rFonts w:hint="eastAsia" w:ascii="宋体" w:hAnsi="宋体"/>
          <w:szCs w:val="21"/>
        </w:rPr>
        <w:t>20.5招标机构将做开标记录，开标记录包括按本通用条款第20.2款的规定在开标时宣读的全部内容。</w:t>
      </w:r>
    </w:p>
    <w:p>
      <w:pPr>
        <w:snapToGrid w:val="0"/>
        <w:spacing w:line="360" w:lineRule="auto"/>
        <w:ind w:firstLine="420" w:firstLineChars="200"/>
        <w:rPr>
          <w:rFonts w:ascii="宋体" w:hAnsi="宋体"/>
          <w:szCs w:val="21"/>
        </w:rPr>
      </w:pPr>
    </w:p>
    <w:p>
      <w:pPr>
        <w:pStyle w:val="5"/>
        <w:spacing w:line="360" w:lineRule="auto"/>
        <w:jc w:val="center"/>
      </w:pPr>
      <w:bookmarkStart w:id="159" w:name="_Toc23404"/>
      <w:r>
        <w:rPr>
          <w:rFonts w:hint="eastAsia"/>
        </w:rPr>
        <w:t>第六章</w:t>
      </w:r>
      <w:bookmarkEnd w:id="153"/>
      <w:bookmarkEnd w:id="154"/>
      <w:bookmarkEnd w:id="155"/>
      <w:bookmarkEnd w:id="156"/>
      <w:r>
        <w:rPr>
          <w:rFonts w:hint="eastAsia"/>
        </w:rPr>
        <w:t>评标</w:t>
      </w:r>
      <w:bookmarkEnd w:id="157"/>
      <w:bookmarkEnd w:id="158"/>
      <w:bookmarkEnd w:id="159"/>
    </w:p>
    <w:p>
      <w:pPr>
        <w:snapToGrid w:val="0"/>
        <w:spacing w:line="360" w:lineRule="auto"/>
        <w:rPr>
          <w:rFonts w:ascii="黑体" w:hAnsi="宋体" w:eastAsia="黑体"/>
          <w:sz w:val="24"/>
        </w:rPr>
      </w:pPr>
      <w:bookmarkStart w:id="160" w:name="bt评标会议"/>
      <w:bookmarkEnd w:id="160"/>
      <w:bookmarkStart w:id="161" w:name="_Toc73517669"/>
      <w:bookmarkStart w:id="162" w:name="_Toc73518147"/>
      <w:bookmarkStart w:id="163" w:name="_Toc73521577"/>
      <w:bookmarkStart w:id="164" w:name="_Toc73521665"/>
      <w:bookmarkStart w:id="165" w:name="_Toc100052394"/>
      <w:r>
        <w:rPr>
          <w:rFonts w:hint="eastAsia" w:ascii="黑体" w:hAnsi="宋体" w:eastAsia="黑体"/>
          <w:sz w:val="24"/>
        </w:rPr>
        <w:t>21．评审会议</w:t>
      </w:r>
    </w:p>
    <w:p>
      <w:pPr>
        <w:spacing w:line="360" w:lineRule="auto"/>
        <w:ind w:firstLine="420" w:firstLineChars="200"/>
        <w:rPr>
          <w:rFonts w:ascii="宋体" w:hAnsi="宋体"/>
          <w:szCs w:val="21"/>
        </w:rPr>
      </w:pPr>
      <w:r>
        <w:rPr>
          <w:rFonts w:hint="eastAsia" w:ascii="宋体" w:hAnsi="宋体"/>
          <w:szCs w:val="21"/>
        </w:rPr>
        <w:t>21.1开标会结束后召开评审会议，由评审委员会负责对投标文件进行评审并根据采购人的授权确定中标供应商和出具书面评审报告。</w:t>
      </w:r>
    </w:p>
    <w:p>
      <w:pPr>
        <w:spacing w:line="360" w:lineRule="auto"/>
        <w:ind w:firstLine="420" w:firstLineChars="200"/>
        <w:rPr>
          <w:rFonts w:ascii="宋体" w:hAnsi="宋体"/>
          <w:szCs w:val="21"/>
        </w:rPr>
      </w:pPr>
      <w:r>
        <w:rPr>
          <w:rFonts w:ascii="宋体" w:hAnsi="宋体"/>
          <w:szCs w:val="21"/>
        </w:rPr>
        <w:t>21.</w:t>
      </w:r>
      <w:r>
        <w:rPr>
          <w:rFonts w:hint="eastAsia" w:ascii="宋体" w:hAnsi="宋体"/>
          <w:szCs w:val="21"/>
        </w:rPr>
        <w:t>2评审委员会由评审专家组成，人数为五人，评审专家由政府采购代理机构通过随机方式从深圳市政府采购专家库中选取。采购人可以派代表参加评审委员会，但采购人代表在评审委员会中所占比例不得超过三分之一。评审委员会成员应当严格遵守评标规则，按照法律、法规规定的评审办法和评审标准，公正地进行评审和履行职责。</w:t>
      </w:r>
    </w:p>
    <w:p>
      <w:pPr>
        <w:spacing w:line="360" w:lineRule="auto"/>
        <w:ind w:firstLine="420" w:firstLineChars="200"/>
        <w:rPr>
          <w:rFonts w:ascii="宋体" w:hAnsi="宋体"/>
          <w:szCs w:val="21"/>
        </w:rPr>
      </w:pPr>
      <w:r>
        <w:rPr>
          <w:rFonts w:ascii="宋体" w:hAnsi="宋体"/>
          <w:szCs w:val="21"/>
        </w:rPr>
        <w:t>21.3</w:t>
      </w:r>
      <w:r>
        <w:rPr>
          <w:rFonts w:hint="eastAsia" w:ascii="宋体" w:hAnsi="宋体"/>
          <w:szCs w:val="21"/>
        </w:rPr>
        <w:t>政府采购代理机构在投标截止日前组成评审委员会。采购人派代表参加评审委员会的，应在投标截止日前一日提交本单位签发的《评标授权书》给政府采购代理机构；采购人不派代表参加评审委员会的，应在投标截止日前一日提交《采购单位不派评委参与项目评标承诺书》给政府采购代理机构。</w:t>
      </w:r>
    </w:p>
    <w:p>
      <w:pPr>
        <w:spacing w:line="360" w:lineRule="auto"/>
        <w:ind w:firstLine="420" w:firstLineChars="200"/>
        <w:rPr>
          <w:rFonts w:ascii="宋体" w:hAnsi="宋体"/>
          <w:szCs w:val="21"/>
        </w:rPr>
      </w:pPr>
      <w:r>
        <w:rPr>
          <w:rFonts w:ascii="宋体" w:hAnsi="宋体"/>
          <w:szCs w:val="21"/>
        </w:rPr>
        <w:t>21.</w:t>
      </w:r>
      <w:r>
        <w:rPr>
          <w:rFonts w:hint="eastAsia" w:ascii="宋体" w:hAnsi="宋体"/>
          <w:szCs w:val="21"/>
        </w:rPr>
        <w:t>4评标、定标应当遵循公平、公正、科学、择优的原则。</w:t>
      </w:r>
    </w:p>
    <w:p>
      <w:pPr>
        <w:spacing w:line="360" w:lineRule="auto"/>
        <w:ind w:firstLine="420" w:firstLineChars="200"/>
        <w:rPr>
          <w:rFonts w:ascii="宋体" w:hAnsi="宋体"/>
          <w:szCs w:val="21"/>
        </w:rPr>
      </w:pPr>
      <w:r>
        <w:rPr>
          <w:rFonts w:hint="eastAsia" w:ascii="宋体" w:hAnsi="宋体"/>
          <w:szCs w:val="21"/>
        </w:rPr>
        <w:t>21.5评审活动依法进行，任何单位和个人不得非法干预评审过程和结果。</w:t>
      </w:r>
    </w:p>
    <w:p>
      <w:pPr>
        <w:spacing w:line="360" w:lineRule="auto"/>
        <w:ind w:firstLine="420" w:firstLineChars="200"/>
        <w:rPr>
          <w:rFonts w:ascii="宋体" w:hAnsi="宋体"/>
          <w:szCs w:val="21"/>
        </w:rPr>
      </w:pPr>
      <w:r>
        <w:rPr>
          <w:rFonts w:hint="eastAsia" w:ascii="宋体" w:hAnsi="宋体"/>
          <w:szCs w:val="21"/>
        </w:rPr>
        <w:t>21.6评审过程中不允许违背评审程序或采用招标文件未载明的评标方法或评审因素进行评标。</w:t>
      </w:r>
    </w:p>
    <w:p>
      <w:pPr>
        <w:spacing w:line="360" w:lineRule="auto"/>
        <w:ind w:firstLine="420" w:firstLineChars="200"/>
        <w:rPr>
          <w:rFonts w:ascii="宋体" w:hAnsi="宋体"/>
          <w:szCs w:val="21"/>
        </w:rPr>
      </w:pPr>
      <w:r>
        <w:rPr>
          <w:rFonts w:hint="eastAsia" w:ascii="宋体" w:hAnsi="宋体"/>
          <w:szCs w:val="21"/>
        </w:rPr>
        <w:t>21.7开标后，直到授予中标供应商合同为止，凡属于对投标文件的审查、澄清、评价和比较的有关资料以及中标供应商的确定情况、与评标、定标有关的其他任何情况均严格保密。</w:t>
      </w:r>
    </w:p>
    <w:p>
      <w:pPr>
        <w:snapToGrid w:val="0"/>
        <w:spacing w:line="360" w:lineRule="auto"/>
        <w:rPr>
          <w:rFonts w:ascii="黑体" w:hAnsi="宋体" w:eastAsia="黑体"/>
          <w:sz w:val="24"/>
        </w:rPr>
      </w:pPr>
      <w:r>
        <w:rPr>
          <w:rFonts w:hint="eastAsia" w:ascii="黑体" w:hAnsi="宋体" w:eastAsia="黑体"/>
          <w:sz w:val="24"/>
        </w:rPr>
        <w:t>22．向评审委员会提供的资料</w:t>
      </w:r>
    </w:p>
    <w:p>
      <w:pPr>
        <w:spacing w:line="360" w:lineRule="auto"/>
        <w:ind w:firstLine="420" w:firstLineChars="200"/>
        <w:rPr>
          <w:rFonts w:ascii="宋体" w:hAnsi="宋体"/>
          <w:szCs w:val="21"/>
        </w:rPr>
      </w:pPr>
      <w:r>
        <w:rPr>
          <w:rFonts w:hint="eastAsia" w:ascii="宋体" w:hAnsi="宋体"/>
          <w:szCs w:val="21"/>
        </w:rPr>
        <w:t>22.1公开发布的招标文件，包括图纸、服务清单、答疑文件等。</w:t>
      </w:r>
    </w:p>
    <w:p>
      <w:pPr>
        <w:spacing w:line="360" w:lineRule="auto"/>
        <w:ind w:firstLine="420" w:firstLineChars="200"/>
        <w:rPr>
          <w:rFonts w:ascii="宋体" w:hAnsi="宋体"/>
          <w:szCs w:val="21"/>
        </w:rPr>
      </w:pPr>
      <w:r>
        <w:rPr>
          <w:rFonts w:hint="eastAsia" w:ascii="宋体" w:hAnsi="宋体"/>
          <w:szCs w:val="21"/>
        </w:rPr>
        <w:t>22.2其他评标必须的资料。</w:t>
      </w:r>
    </w:p>
    <w:p>
      <w:pPr>
        <w:spacing w:line="360" w:lineRule="auto"/>
        <w:ind w:firstLine="420" w:firstLineChars="200"/>
        <w:rPr>
          <w:rFonts w:ascii="宋体" w:hAnsi="宋体"/>
          <w:szCs w:val="21"/>
        </w:rPr>
      </w:pPr>
      <w:r>
        <w:rPr>
          <w:rFonts w:hint="eastAsia" w:ascii="宋体" w:hAnsi="宋体"/>
          <w:szCs w:val="21"/>
        </w:rPr>
        <w:t>22.3评审委员会应当认真研究招标文件，至少应了解熟悉以下内容：</w:t>
      </w:r>
    </w:p>
    <w:p>
      <w:pPr>
        <w:spacing w:line="360" w:lineRule="auto"/>
        <w:ind w:firstLine="420" w:firstLineChars="200"/>
        <w:rPr>
          <w:rFonts w:ascii="宋体" w:hAnsi="宋体"/>
          <w:szCs w:val="21"/>
        </w:rPr>
      </w:pPr>
      <w:r>
        <w:rPr>
          <w:rFonts w:hint="eastAsia" w:ascii="宋体" w:hAnsi="宋体"/>
          <w:szCs w:val="21"/>
        </w:rPr>
        <w:t>（1）招标的目的；</w:t>
      </w:r>
    </w:p>
    <w:p>
      <w:pPr>
        <w:spacing w:line="360" w:lineRule="auto"/>
        <w:ind w:firstLine="420" w:firstLineChars="200"/>
        <w:rPr>
          <w:rFonts w:ascii="宋体" w:hAnsi="宋体"/>
          <w:szCs w:val="21"/>
        </w:rPr>
      </w:pPr>
      <w:r>
        <w:rPr>
          <w:rFonts w:hint="eastAsia" w:ascii="宋体" w:hAnsi="宋体"/>
          <w:szCs w:val="21"/>
        </w:rPr>
        <w:t>（2）招标项目需求的范围和性质；</w:t>
      </w:r>
    </w:p>
    <w:p>
      <w:pPr>
        <w:spacing w:line="360" w:lineRule="auto"/>
        <w:ind w:firstLine="420" w:firstLineChars="200"/>
        <w:rPr>
          <w:rFonts w:ascii="宋体" w:hAnsi="宋体"/>
          <w:szCs w:val="21"/>
        </w:rPr>
      </w:pPr>
      <w:r>
        <w:rPr>
          <w:rFonts w:hint="eastAsia" w:ascii="宋体" w:hAnsi="宋体"/>
          <w:szCs w:val="21"/>
        </w:rPr>
        <w:t>（3）招标文件规定的投标人的资质、财政预算限额、商务条款；</w:t>
      </w:r>
    </w:p>
    <w:p>
      <w:pPr>
        <w:spacing w:line="360" w:lineRule="auto"/>
        <w:ind w:firstLine="420" w:firstLineChars="200"/>
        <w:rPr>
          <w:rFonts w:ascii="宋体" w:hAnsi="宋体"/>
          <w:szCs w:val="21"/>
        </w:rPr>
      </w:pPr>
      <w:r>
        <w:rPr>
          <w:rFonts w:hint="eastAsia" w:ascii="宋体" w:hAnsi="宋体"/>
          <w:szCs w:val="21"/>
        </w:rPr>
        <w:t>（4）招标文件规定的评审程序、评标方法和评审因素；</w:t>
      </w:r>
    </w:p>
    <w:p>
      <w:pPr>
        <w:spacing w:line="360" w:lineRule="auto"/>
        <w:ind w:firstLine="420" w:firstLineChars="200"/>
        <w:rPr>
          <w:rFonts w:ascii="宋体" w:hAnsi="宋体"/>
          <w:szCs w:val="21"/>
        </w:rPr>
      </w:pPr>
      <w:r>
        <w:rPr>
          <w:rFonts w:hint="eastAsia" w:ascii="宋体" w:hAnsi="宋体"/>
          <w:szCs w:val="21"/>
        </w:rPr>
        <w:t>（5）招标文件所列示的废标条件；</w:t>
      </w:r>
    </w:p>
    <w:p>
      <w:pPr>
        <w:snapToGrid w:val="0"/>
        <w:spacing w:line="360" w:lineRule="auto"/>
        <w:rPr>
          <w:rFonts w:ascii="黑体" w:hAnsi="宋体" w:eastAsia="黑体"/>
          <w:sz w:val="24"/>
        </w:rPr>
      </w:pPr>
      <w:r>
        <w:rPr>
          <w:rFonts w:hint="eastAsia" w:ascii="黑体" w:hAnsi="宋体" w:eastAsia="黑体"/>
          <w:sz w:val="24"/>
        </w:rPr>
        <w:t>23．独立评审</w:t>
      </w:r>
    </w:p>
    <w:p>
      <w:pPr>
        <w:snapToGrid w:val="0"/>
        <w:spacing w:line="360" w:lineRule="auto"/>
        <w:ind w:firstLine="420" w:firstLineChars="200"/>
        <w:rPr>
          <w:rFonts w:ascii="宋体" w:hAnsi="宋体"/>
          <w:bCs/>
        </w:rPr>
      </w:pPr>
      <w:r>
        <w:rPr>
          <w:rFonts w:hint="eastAsia" w:ascii="宋体" w:hAnsi="宋体"/>
          <w:szCs w:val="21"/>
        </w:rPr>
        <w:t>23.1评审委员会成员的评审活动应当独立进行，并应遵循投标文件初审、澄清有关问题、比较与评价、确定中标供应商、编写评审报告的工作程序</w:t>
      </w:r>
      <w:r>
        <w:rPr>
          <w:rFonts w:hint="eastAsia" w:ascii="宋体" w:hAnsi="宋体"/>
          <w:bCs/>
        </w:rPr>
        <w:t>。</w:t>
      </w:r>
      <w:bookmarkEnd w:id="161"/>
      <w:bookmarkEnd w:id="162"/>
      <w:bookmarkEnd w:id="163"/>
      <w:bookmarkEnd w:id="164"/>
      <w:bookmarkEnd w:id="165"/>
      <w:bookmarkStart w:id="166" w:name="bt错误的修正"/>
      <w:bookmarkEnd w:id="166"/>
      <w:bookmarkStart w:id="167" w:name="bt评标过程的保密"/>
      <w:bookmarkEnd w:id="167"/>
    </w:p>
    <w:p>
      <w:pPr>
        <w:snapToGrid w:val="0"/>
        <w:spacing w:line="360" w:lineRule="auto"/>
        <w:ind w:firstLine="420" w:firstLineChars="200"/>
        <w:rPr>
          <w:rFonts w:ascii="宋体" w:hAnsi="宋体"/>
          <w:bCs/>
          <w:szCs w:val="21"/>
        </w:rPr>
      </w:pPr>
    </w:p>
    <w:p>
      <w:pPr>
        <w:pStyle w:val="5"/>
        <w:spacing w:line="360" w:lineRule="auto"/>
        <w:jc w:val="center"/>
      </w:pPr>
      <w:bookmarkStart w:id="168" w:name="_Toc101074883"/>
      <w:bookmarkStart w:id="169" w:name="_Toc9999"/>
      <w:bookmarkStart w:id="170" w:name="_Toc100052397"/>
      <w:r>
        <w:rPr>
          <w:rFonts w:hint="eastAsia"/>
        </w:rPr>
        <w:t>第七章评审程序</w:t>
      </w:r>
      <w:bookmarkStart w:id="171" w:name="bt投标文件的审查"/>
      <w:bookmarkEnd w:id="171"/>
      <w:bookmarkStart w:id="172" w:name="_Toc73518149"/>
      <w:bookmarkStart w:id="173" w:name="_Toc73521667"/>
      <w:bookmarkStart w:id="174" w:name="_Toc73517671"/>
      <w:bookmarkStart w:id="175" w:name="_Toc73521579"/>
      <w:r>
        <w:rPr>
          <w:rFonts w:hint="eastAsia"/>
        </w:rPr>
        <w:t>及评标方法</w:t>
      </w:r>
      <w:bookmarkEnd w:id="168"/>
      <w:bookmarkEnd w:id="169"/>
      <w:bookmarkEnd w:id="170"/>
    </w:p>
    <w:p>
      <w:pPr>
        <w:snapToGrid w:val="0"/>
        <w:spacing w:line="360" w:lineRule="auto"/>
        <w:rPr>
          <w:rFonts w:ascii="黑体" w:hAnsi="宋体" w:eastAsia="黑体"/>
          <w:sz w:val="24"/>
        </w:rPr>
      </w:pPr>
      <w:bookmarkStart w:id="176" w:name="_Toc100052398"/>
      <w:r>
        <w:rPr>
          <w:rFonts w:hint="eastAsia" w:ascii="黑体" w:hAnsi="宋体" w:eastAsia="黑体"/>
          <w:sz w:val="24"/>
        </w:rPr>
        <w:t>24．投标文件初审</w:t>
      </w:r>
      <w:bookmarkEnd w:id="176"/>
    </w:p>
    <w:p>
      <w:pPr>
        <w:snapToGrid w:val="0"/>
        <w:spacing w:line="360" w:lineRule="auto"/>
        <w:ind w:firstLine="411" w:firstLineChars="196"/>
        <w:rPr>
          <w:rFonts w:ascii="宋体" w:hAnsi="宋体"/>
        </w:rPr>
      </w:pPr>
      <w:r>
        <w:rPr>
          <w:rFonts w:hint="eastAsia" w:ascii="宋体" w:hAnsi="宋体"/>
        </w:rPr>
        <w:t>24.1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pPr>
        <w:snapToGrid w:val="0"/>
        <w:spacing w:line="360" w:lineRule="auto"/>
        <w:ind w:firstLine="411" w:firstLineChars="196"/>
        <w:rPr>
          <w:rFonts w:ascii="宋体" w:hAnsi="宋体"/>
        </w:rPr>
      </w:pPr>
      <w:r>
        <w:rPr>
          <w:rFonts w:hint="eastAsia" w:ascii="宋体" w:hAnsi="宋体"/>
        </w:rPr>
        <w:t>24.2投标文件初审内容请详见招标文件第二册第二章《投标文件初审表》部分。投标人若有一条审查不通过则按废标处理。</w:t>
      </w:r>
    </w:p>
    <w:p>
      <w:pPr>
        <w:snapToGrid w:val="0"/>
        <w:spacing w:line="360" w:lineRule="auto"/>
        <w:ind w:firstLine="411" w:firstLineChars="196"/>
        <w:rPr>
          <w:rFonts w:ascii="宋体" w:hAnsi="宋体"/>
          <w:b/>
          <w:bCs/>
          <w:szCs w:val="21"/>
        </w:rPr>
      </w:pPr>
      <w:r>
        <w:rPr>
          <w:rFonts w:hint="eastAsia" w:ascii="宋体" w:hAnsi="宋体"/>
        </w:rPr>
        <w:t>24.3对不属于投标文件初审表所列的其他情形，除法律法规另有规定外，不得作为废标的理由。</w:t>
      </w:r>
      <w:bookmarkEnd w:id="172"/>
      <w:bookmarkEnd w:id="173"/>
      <w:bookmarkEnd w:id="174"/>
      <w:bookmarkEnd w:id="175"/>
    </w:p>
    <w:p>
      <w:pPr>
        <w:snapToGrid w:val="0"/>
        <w:spacing w:line="360" w:lineRule="auto"/>
        <w:rPr>
          <w:rFonts w:ascii="黑体" w:hAnsi="宋体" w:eastAsia="黑体"/>
          <w:sz w:val="24"/>
        </w:rPr>
      </w:pPr>
      <w:bookmarkStart w:id="177" w:name="_Toc100052399"/>
      <w:r>
        <w:rPr>
          <w:rFonts w:hint="eastAsia" w:ascii="黑体" w:hAnsi="宋体" w:eastAsia="黑体"/>
          <w:sz w:val="24"/>
        </w:rPr>
        <w:t>25．澄清有关问题</w:t>
      </w:r>
      <w:bookmarkEnd w:id="177"/>
    </w:p>
    <w:p>
      <w:pPr>
        <w:snapToGrid w:val="0"/>
        <w:spacing w:line="360" w:lineRule="auto"/>
        <w:ind w:firstLine="411" w:firstLineChars="196"/>
        <w:rPr>
          <w:rFonts w:ascii="宋体" w:hAnsi="宋体"/>
          <w:szCs w:val="21"/>
        </w:rPr>
      </w:pPr>
      <w:bookmarkStart w:id="178" w:name="bt废标"/>
      <w:bookmarkEnd w:id="178"/>
      <w:bookmarkStart w:id="179" w:name="bt投标文件的评估和比较"/>
      <w:bookmarkEnd w:id="179"/>
      <w:bookmarkStart w:id="180" w:name="bt投标文件的澄清"/>
      <w:bookmarkEnd w:id="180"/>
      <w:bookmarkStart w:id="181" w:name="_Toc73521583"/>
      <w:bookmarkStart w:id="182" w:name="_Toc73521671"/>
      <w:bookmarkStart w:id="183" w:name="_Toc73518153"/>
      <w:bookmarkStart w:id="184" w:name="_Toc73517675"/>
      <w:r>
        <w:rPr>
          <w:rFonts w:hint="eastAsia" w:ascii="宋体" w:hAnsi="宋体"/>
          <w:szCs w:val="21"/>
        </w:rPr>
        <w:t>25.1为了有助于投标文件的审查、评价和比较，对投标文件含义不明确、同类问题表述不一致或者有明显文字和计算错误的内容，评审委员会可以用书面形式(应当由评审委员会全体成员签字)要求投标供应商作出必要的澄清、说明或者纠正。投标人的澄清、说明或者补正应当用采用书面形式（由其受权的代表签字），并不得超出投标文件的范围或者改变投标文件的实质性的内容。根据本通用条款第26条，凡属于评审委员会在评审中发现的算术错误进行核实的修改不在此列。</w:t>
      </w:r>
    </w:p>
    <w:p>
      <w:pPr>
        <w:snapToGrid w:val="0"/>
        <w:spacing w:line="360" w:lineRule="auto"/>
        <w:rPr>
          <w:rFonts w:ascii="黑体" w:hAnsi="宋体" w:eastAsia="黑体"/>
          <w:sz w:val="24"/>
        </w:rPr>
      </w:pPr>
      <w:bookmarkStart w:id="185" w:name="_Toc73517673"/>
      <w:bookmarkStart w:id="186" w:name="_Toc73518151"/>
      <w:bookmarkStart w:id="187" w:name="_Toc73521581"/>
      <w:bookmarkStart w:id="188" w:name="_Toc73521669"/>
      <w:bookmarkStart w:id="189" w:name="_Toc100052400"/>
      <w:r>
        <w:rPr>
          <w:rFonts w:hint="eastAsia" w:ascii="黑体" w:hAnsi="宋体" w:eastAsia="黑体"/>
          <w:sz w:val="24"/>
        </w:rPr>
        <w:t>26．错误的修正</w:t>
      </w:r>
      <w:bookmarkEnd w:id="185"/>
      <w:bookmarkEnd w:id="186"/>
      <w:bookmarkEnd w:id="187"/>
      <w:bookmarkEnd w:id="188"/>
      <w:bookmarkEnd w:id="189"/>
    </w:p>
    <w:p>
      <w:pPr>
        <w:snapToGrid w:val="0"/>
        <w:spacing w:line="360" w:lineRule="auto"/>
        <w:ind w:firstLine="411" w:firstLineChars="196"/>
        <w:rPr>
          <w:rFonts w:ascii="宋体" w:hAnsi="宋体"/>
          <w:szCs w:val="21"/>
        </w:rPr>
      </w:pPr>
      <w:bookmarkStart w:id="190" w:name="_Toc100052401"/>
      <w:r>
        <w:rPr>
          <w:rFonts w:ascii="宋体" w:hAnsi="宋体"/>
          <w:szCs w:val="21"/>
        </w:rPr>
        <w:t xml:space="preserve">26.1 </w:t>
      </w:r>
      <w:r>
        <w:rPr>
          <w:rFonts w:hint="eastAsia" w:ascii="宋体" w:hAnsi="宋体"/>
          <w:szCs w:val="21"/>
        </w:rPr>
        <w:t>评审委员会将审查投标文件是否完整、总体编排是否有序、文件签署是否合格、投标人有无计算上的错误等。</w:t>
      </w:r>
    </w:p>
    <w:p>
      <w:pPr>
        <w:snapToGrid w:val="0"/>
        <w:spacing w:line="360" w:lineRule="auto"/>
        <w:ind w:firstLine="411" w:firstLineChars="196"/>
        <w:rPr>
          <w:rFonts w:ascii="宋体" w:hAnsi="宋体"/>
          <w:szCs w:val="21"/>
        </w:rPr>
      </w:pPr>
      <w:r>
        <w:rPr>
          <w:rFonts w:hint="eastAsia" w:ascii="宋体" w:hAnsi="宋体"/>
          <w:szCs w:val="21"/>
        </w:rPr>
        <w:t>26.2 算术错误将按以下方法更正（次序排先者优先）：</w:t>
      </w:r>
    </w:p>
    <w:p>
      <w:pPr>
        <w:snapToGrid w:val="0"/>
        <w:spacing w:line="360" w:lineRule="auto"/>
        <w:ind w:firstLine="411" w:firstLineChars="196"/>
        <w:rPr>
          <w:rFonts w:ascii="宋体" w:hAnsi="宋体"/>
          <w:szCs w:val="21"/>
        </w:rPr>
      </w:pPr>
      <w:r>
        <w:rPr>
          <w:rFonts w:hint="eastAsia" w:ascii="宋体" w:hAnsi="宋体"/>
          <w:szCs w:val="21"/>
        </w:rPr>
        <w:t>26.2.1 单独密封提交的开标一览表（报价表）与投标文件中的开标一览表（报价表）不一致的，以单独密封提交的开标一览表（报价表）为准；</w:t>
      </w:r>
    </w:p>
    <w:p>
      <w:pPr>
        <w:snapToGrid w:val="0"/>
        <w:spacing w:line="360" w:lineRule="auto"/>
        <w:ind w:firstLine="411" w:firstLineChars="196"/>
        <w:rPr>
          <w:rFonts w:ascii="宋体" w:hAnsi="宋体"/>
          <w:szCs w:val="21"/>
        </w:rPr>
      </w:pPr>
      <w:r>
        <w:rPr>
          <w:rFonts w:hint="eastAsia" w:ascii="宋体" w:hAnsi="宋体"/>
          <w:szCs w:val="21"/>
        </w:rPr>
        <w:t>26.2.2投标文件中开标一览表（报价表）内容与投标文件中相应内容不一致的，以开标一览表（报价表）为准；</w:t>
      </w:r>
    </w:p>
    <w:p>
      <w:pPr>
        <w:snapToGrid w:val="0"/>
        <w:spacing w:line="360" w:lineRule="auto"/>
        <w:ind w:firstLine="411" w:firstLineChars="196"/>
        <w:rPr>
          <w:rFonts w:ascii="宋体" w:hAnsi="宋体"/>
          <w:szCs w:val="21"/>
        </w:rPr>
      </w:pPr>
      <w:r>
        <w:rPr>
          <w:rFonts w:hint="eastAsia" w:ascii="宋体" w:hAnsi="宋体"/>
          <w:szCs w:val="21"/>
        </w:rPr>
        <w:t>26.2.3大写金额和小写金额不一致的，以大写金额为准；</w:t>
      </w:r>
    </w:p>
    <w:p>
      <w:pPr>
        <w:snapToGrid w:val="0"/>
        <w:spacing w:line="360" w:lineRule="auto"/>
        <w:ind w:firstLine="411" w:firstLineChars="196"/>
        <w:rPr>
          <w:rFonts w:ascii="宋体" w:hAnsi="宋体"/>
          <w:szCs w:val="21"/>
        </w:rPr>
      </w:pPr>
      <w:r>
        <w:rPr>
          <w:rFonts w:hint="eastAsia" w:ascii="宋体" w:hAnsi="宋体"/>
          <w:szCs w:val="21"/>
        </w:rPr>
        <w:t>26.2.4单价金额小数点或者百分比有明显错位的，以开标一览表的总价为准，并修改单价；</w:t>
      </w:r>
    </w:p>
    <w:p>
      <w:pPr>
        <w:snapToGrid w:val="0"/>
        <w:spacing w:line="360" w:lineRule="auto"/>
        <w:ind w:firstLine="411" w:firstLineChars="196"/>
        <w:rPr>
          <w:rFonts w:ascii="宋体" w:hAnsi="宋体"/>
          <w:szCs w:val="21"/>
        </w:rPr>
      </w:pPr>
      <w:r>
        <w:rPr>
          <w:rFonts w:hint="eastAsia" w:ascii="宋体" w:hAnsi="宋体"/>
          <w:szCs w:val="21"/>
        </w:rPr>
        <w:t>26.2.5总价金额与按单价汇总金额不一致的，以单价金额计算结果为准；</w:t>
      </w:r>
    </w:p>
    <w:p>
      <w:pPr>
        <w:snapToGrid w:val="0"/>
        <w:spacing w:line="360" w:lineRule="auto"/>
        <w:ind w:firstLine="411" w:firstLineChars="196"/>
        <w:rPr>
          <w:rFonts w:ascii="宋体" w:hAnsi="宋体"/>
          <w:szCs w:val="21"/>
        </w:rPr>
      </w:pPr>
      <w:r>
        <w:rPr>
          <w:rFonts w:hint="eastAsia" w:ascii="宋体" w:hAnsi="宋体"/>
          <w:szCs w:val="21"/>
        </w:rPr>
        <w:t>26.2.6 对不同文字文本投标文件的解释发生异议的，以中文文本为准。</w:t>
      </w:r>
    </w:p>
    <w:p>
      <w:pPr>
        <w:snapToGrid w:val="0"/>
        <w:spacing w:line="360" w:lineRule="auto"/>
        <w:ind w:firstLine="411" w:firstLineChars="196"/>
        <w:rPr>
          <w:rFonts w:ascii="宋体" w:hAnsi="宋体"/>
          <w:szCs w:val="21"/>
        </w:rPr>
      </w:pPr>
      <w:r>
        <w:rPr>
          <w:rFonts w:hint="eastAsia" w:ascii="宋体" w:hAnsi="宋体"/>
          <w:szCs w:val="21"/>
        </w:rPr>
        <w:t>26.3上述修正错误的原则及方法调整或修正投标文件的投标报价，投标人同意后，调整后的投标报价对投标人起约束作用。</w:t>
      </w:r>
      <w:r>
        <w:rPr>
          <w:rFonts w:hint="eastAsia" w:ascii="宋体" w:hAnsi="宋体"/>
          <w:bCs/>
          <w:szCs w:val="21"/>
        </w:rPr>
        <w:t>如果投标人不接受修正后的报价，则其投标将被拒绝。</w:t>
      </w:r>
    </w:p>
    <w:p>
      <w:pPr>
        <w:snapToGrid w:val="0"/>
        <w:spacing w:line="360" w:lineRule="auto"/>
        <w:rPr>
          <w:rFonts w:ascii="黑体" w:hAnsi="宋体" w:eastAsia="黑体"/>
          <w:sz w:val="24"/>
        </w:rPr>
      </w:pPr>
      <w:r>
        <w:rPr>
          <w:rFonts w:hint="eastAsia" w:ascii="黑体" w:hAnsi="宋体" w:eastAsia="黑体"/>
          <w:sz w:val="24"/>
        </w:rPr>
        <w:t>27．投标文件的</w:t>
      </w:r>
      <w:bookmarkEnd w:id="181"/>
      <w:bookmarkEnd w:id="182"/>
      <w:bookmarkEnd w:id="183"/>
      <w:bookmarkEnd w:id="184"/>
      <w:r>
        <w:rPr>
          <w:rFonts w:hint="eastAsia" w:ascii="黑体" w:hAnsi="宋体" w:eastAsia="黑体"/>
          <w:sz w:val="24"/>
        </w:rPr>
        <w:t>比较与评价</w:t>
      </w:r>
      <w:bookmarkEnd w:id="190"/>
    </w:p>
    <w:p>
      <w:pPr>
        <w:spacing w:line="360" w:lineRule="auto"/>
        <w:ind w:firstLine="420" w:firstLineChars="200"/>
        <w:rPr>
          <w:rFonts w:ascii="宋体" w:hAnsi="宋体"/>
          <w:szCs w:val="21"/>
        </w:rPr>
      </w:pPr>
      <w:r>
        <w:rPr>
          <w:rFonts w:hint="eastAsia" w:ascii="宋体" w:hAnsi="宋体"/>
          <w:szCs w:val="21"/>
        </w:rPr>
        <w:t>评审委员会按招标文件中规定的评标方法和标准，对资格性检查和符合性检查合格且报价不超过预算控制金额的投标文件进行商务和技术评审，综合比较与评价。</w:t>
      </w:r>
    </w:p>
    <w:p>
      <w:pPr>
        <w:snapToGrid w:val="0"/>
        <w:spacing w:line="360" w:lineRule="auto"/>
        <w:rPr>
          <w:rFonts w:ascii="黑体" w:hAnsi="宋体" w:eastAsia="黑体"/>
          <w:sz w:val="24"/>
        </w:rPr>
      </w:pPr>
      <w:bookmarkStart w:id="191" w:name="_Toc100052402"/>
      <w:r>
        <w:rPr>
          <w:rFonts w:hint="eastAsia" w:ascii="黑体" w:hAnsi="宋体" w:eastAsia="黑体"/>
          <w:sz w:val="24"/>
        </w:rPr>
        <w:t>28．评标方法</w:t>
      </w:r>
      <w:bookmarkEnd w:id="191"/>
    </w:p>
    <w:p>
      <w:pPr>
        <w:snapToGrid w:val="0"/>
        <w:spacing w:line="360" w:lineRule="auto"/>
        <w:ind w:firstLine="411" w:firstLineChars="196"/>
        <w:rPr>
          <w:rFonts w:ascii="宋体" w:hAnsi="宋体"/>
          <w:szCs w:val="21"/>
        </w:rPr>
      </w:pPr>
      <w:r>
        <w:rPr>
          <w:rFonts w:hint="eastAsia" w:ascii="宋体" w:hAnsi="宋体"/>
          <w:szCs w:val="21"/>
        </w:rPr>
        <w:t>28.1评标方法分为最低评标价法、综合评分法及法律、法规允许的其它评标办法。</w:t>
      </w:r>
    </w:p>
    <w:p>
      <w:pPr>
        <w:snapToGrid w:val="0"/>
        <w:spacing w:line="360" w:lineRule="auto"/>
        <w:ind w:firstLine="413" w:firstLineChars="196"/>
        <w:rPr>
          <w:rFonts w:ascii="宋体" w:hAnsi="宋体"/>
          <w:b/>
          <w:bCs/>
          <w:szCs w:val="21"/>
        </w:rPr>
      </w:pPr>
      <w:r>
        <w:rPr>
          <w:rFonts w:hint="eastAsia" w:ascii="宋体" w:hAnsi="宋体"/>
          <w:b/>
          <w:bCs/>
          <w:szCs w:val="21"/>
        </w:rPr>
        <w:t>28.1.1</w:t>
      </w:r>
      <w:bookmarkStart w:id="192" w:name="评标方法2"/>
      <w:r>
        <w:rPr>
          <w:rFonts w:hint="eastAsia" w:ascii="宋体" w:hAnsi="宋体"/>
          <w:b/>
          <w:bCs/>
          <w:szCs w:val="21"/>
        </w:rPr>
        <w:t>最低评标价法</w:t>
      </w:r>
    </w:p>
    <w:p>
      <w:pPr>
        <w:snapToGrid w:val="0"/>
        <w:spacing w:line="360" w:lineRule="auto"/>
        <w:ind w:firstLine="411" w:firstLineChars="196"/>
        <w:rPr>
          <w:rFonts w:ascii="宋体" w:hAnsi="宋体"/>
          <w:bCs/>
          <w:szCs w:val="21"/>
        </w:rPr>
      </w:pPr>
      <w:r>
        <w:rPr>
          <w:rFonts w:hint="eastAsia" w:ascii="宋体" w:hAnsi="宋体"/>
          <w:bCs/>
          <w:szCs w:val="21"/>
        </w:rPr>
        <w:t>最低评标价法，是指以价格因素确定中标候选供应商的评标方法，即在满足招标文件实质性要求前提下，以报价最低的投标供应商作为中标候选供应商或中标供应商的评标方法。</w:t>
      </w:r>
    </w:p>
    <w:p>
      <w:pPr>
        <w:snapToGrid w:val="0"/>
        <w:spacing w:line="360" w:lineRule="auto"/>
        <w:ind w:firstLine="413" w:firstLineChars="196"/>
        <w:rPr>
          <w:rFonts w:ascii="宋体" w:hAnsi="宋体"/>
          <w:b/>
          <w:bCs/>
          <w:szCs w:val="21"/>
        </w:rPr>
      </w:pPr>
      <w:r>
        <w:rPr>
          <w:rFonts w:hint="eastAsia" w:ascii="宋体" w:hAnsi="宋体"/>
          <w:b/>
          <w:bCs/>
          <w:szCs w:val="21"/>
        </w:rPr>
        <w:t>28.1.2综合评分法</w:t>
      </w:r>
      <w:bookmarkEnd w:id="192"/>
    </w:p>
    <w:p>
      <w:pPr>
        <w:snapToGrid w:val="0"/>
        <w:spacing w:line="360" w:lineRule="auto"/>
        <w:ind w:firstLine="411" w:firstLineChars="196"/>
        <w:rPr>
          <w:rFonts w:ascii="宋体" w:hAnsi="宋体"/>
          <w:bCs/>
          <w:szCs w:val="21"/>
        </w:rPr>
      </w:pPr>
      <w:bookmarkStart w:id="193" w:name="评标方法3"/>
      <w:r>
        <w:rPr>
          <w:rFonts w:hint="eastAsia" w:ascii="宋体" w:hAnsi="宋体"/>
          <w:bCs/>
          <w:szCs w:val="21"/>
        </w:rPr>
        <w:t>综合评分法，是指在最大限度地满足招标文件实质性要求前提下，按照招标文件中规定的各项因素进行量化打分，以评标总得分最高的投标供应商作为中标候选供应商或中标供应商的评标方法。</w:t>
      </w:r>
    </w:p>
    <w:p>
      <w:pPr>
        <w:snapToGrid w:val="0"/>
        <w:spacing w:line="360" w:lineRule="auto"/>
        <w:ind w:firstLine="413" w:firstLineChars="196"/>
        <w:rPr>
          <w:rFonts w:ascii="宋体" w:hAnsi="宋体"/>
          <w:b/>
          <w:bCs/>
          <w:szCs w:val="21"/>
        </w:rPr>
      </w:pPr>
      <w:r>
        <w:rPr>
          <w:rFonts w:hint="eastAsia" w:ascii="宋体" w:hAnsi="宋体"/>
          <w:b/>
          <w:bCs/>
          <w:szCs w:val="21"/>
        </w:rPr>
        <w:t>28.2 本项目采用的评标方法</w:t>
      </w:r>
      <w:bookmarkEnd w:id="193"/>
    </w:p>
    <w:p>
      <w:pPr>
        <w:snapToGrid w:val="0"/>
        <w:spacing w:line="360" w:lineRule="auto"/>
        <w:ind w:firstLine="413" w:firstLineChars="196"/>
        <w:rPr>
          <w:rFonts w:ascii="宋体" w:hAnsi="宋体"/>
          <w:b/>
          <w:bCs/>
          <w:szCs w:val="21"/>
        </w:rPr>
      </w:pPr>
      <w:r>
        <w:rPr>
          <w:rFonts w:hint="eastAsia" w:ascii="宋体" w:hAnsi="宋体"/>
          <w:b/>
          <w:bCs/>
          <w:szCs w:val="21"/>
        </w:rPr>
        <w:t>（请详见第二册第二章《评标信息》）</w:t>
      </w:r>
    </w:p>
    <w:p>
      <w:pPr>
        <w:snapToGrid w:val="0"/>
        <w:spacing w:line="360" w:lineRule="auto"/>
        <w:rPr>
          <w:rFonts w:ascii="黑体" w:hAnsi="宋体" w:eastAsia="黑体"/>
          <w:sz w:val="24"/>
        </w:rPr>
      </w:pPr>
      <w:bookmarkStart w:id="194" w:name="_Toc60560665"/>
      <w:bookmarkStart w:id="195" w:name="_Toc73517677"/>
      <w:bookmarkStart w:id="196" w:name="_Toc100052403"/>
      <w:bookmarkStart w:id="197" w:name="_Toc73521673"/>
      <w:bookmarkStart w:id="198" w:name="_Toc73518155"/>
      <w:bookmarkStart w:id="199" w:name="_Toc73521585"/>
      <w:bookmarkStart w:id="200" w:name="_Toc60631660"/>
      <w:bookmarkStart w:id="201" w:name="_Toc100052404"/>
      <w:r>
        <w:rPr>
          <w:rFonts w:hint="eastAsia" w:ascii="黑体" w:hAnsi="宋体" w:eastAsia="黑体"/>
          <w:sz w:val="24"/>
        </w:rPr>
        <w:t>29．定标</w:t>
      </w:r>
      <w:bookmarkEnd w:id="194"/>
      <w:bookmarkEnd w:id="195"/>
      <w:bookmarkEnd w:id="196"/>
      <w:bookmarkEnd w:id="197"/>
      <w:bookmarkEnd w:id="198"/>
      <w:bookmarkEnd w:id="199"/>
      <w:bookmarkEnd w:id="200"/>
      <w:r>
        <w:rPr>
          <w:rFonts w:hint="eastAsia" w:ascii="黑体" w:hAnsi="宋体" w:eastAsia="黑体"/>
          <w:sz w:val="24"/>
        </w:rPr>
        <w:t>（适用于非评定分离项目）</w:t>
      </w:r>
    </w:p>
    <w:p>
      <w:pPr>
        <w:snapToGrid w:val="0"/>
        <w:spacing w:line="360" w:lineRule="auto"/>
        <w:ind w:firstLine="411" w:firstLineChars="196"/>
        <w:rPr>
          <w:rFonts w:ascii="宋体" w:hAnsi="宋体"/>
          <w:szCs w:val="21"/>
        </w:rPr>
      </w:pPr>
      <w:r>
        <w:rPr>
          <w:rFonts w:hint="eastAsia" w:ascii="宋体" w:hAnsi="宋体"/>
          <w:szCs w:val="21"/>
        </w:rPr>
        <w:t>29</w:t>
      </w:r>
      <w:r>
        <w:rPr>
          <w:rFonts w:ascii="宋体" w:hAnsi="宋体"/>
          <w:szCs w:val="21"/>
        </w:rPr>
        <w:t>.</w:t>
      </w:r>
      <w:r>
        <w:rPr>
          <w:rFonts w:hint="eastAsia" w:ascii="宋体" w:hAnsi="宋体"/>
          <w:szCs w:val="21"/>
        </w:rPr>
        <w:t>1评审委员会依据本招标文件所约定的评标方法进行评审和比较，向政府采购代理机构提交书面评审报告，并根据评标方法比较评价结果从优到劣进行排序，并推荐中标候选人或确定中标供应商；</w:t>
      </w:r>
    </w:p>
    <w:p>
      <w:pPr>
        <w:snapToGrid w:val="0"/>
        <w:spacing w:line="360" w:lineRule="auto"/>
        <w:ind w:firstLine="411" w:firstLineChars="196"/>
        <w:rPr>
          <w:rFonts w:ascii="宋体" w:hAnsi="宋体"/>
          <w:szCs w:val="21"/>
        </w:rPr>
      </w:pPr>
      <w:r>
        <w:rPr>
          <w:rFonts w:hint="eastAsia" w:ascii="宋体" w:hAnsi="宋体"/>
          <w:szCs w:val="21"/>
        </w:rPr>
        <w:t>29</w:t>
      </w:r>
      <w:r>
        <w:rPr>
          <w:rFonts w:ascii="宋体" w:hAnsi="宋体"/>
          <w:szCs w:val="21"/>
        </w:rPr>
        <w:t>.</w:t>
      </w:r>
      <w:r>
        <w:rPr>
          <w:rFonts w:hint="eastAsia" w:ascii="宋体" w:hAnsi="宋体"/>
          <w:szCs w:val="21"/>
        </w:rPr>
        <w:t>2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pPr>
        <w:snapToGrid w:val="0"/>
        <w:spacing w:line="360" w:lineRule="auto"/>
        <w:ind w:firstLine="411" w:firstLineChars="196"/>
        <w:rPr>
          <w:rFonts w:ascii="宋体" w:hAnsi="宋体"/>
          <w:szCs w:val="21"/>
        </w:rPr>
      </w:pPr>
      <w:r>
        <w:rPr>
          <w:rFonts w:hint="eastAsia" w:ascii="宋体" w:hAnsi="宋体"/>
          <w:szCs w:val="21"/>
        </w:rPr>
        <w:t>29</w:t>
      </w:r>
      <w:r>
        <w:rPr>
          <w:rFonts w:ascii="宋体" w:hAnsi="宋体"/>
          <w:szCs w:val="21"/>
        </w:rPr>
        <w:t>.</w:t>
      </w:r>
      <w:r>
        <w:rPr>
          <w:rFonts w:hint="eastAsia" w:ascii="宋体" w:hAnsi="宋体"/>
          <w:szCs w:val="21"/>
        </w:rPr>
        <w:t>3</w:t>
      </w:r>
      <w:r>
        <w:rPr>
          <w:rFonts w:ascii="宋体" w:hAnsi="宋体"/>
          <w:szCs w:val="21"/>
        </w:rPr>
        <w:t>采用综合评</w:t>
      </w:r>
      <w:r>
        <w:rPr>
          <w:rFonts w:hint="eastAsia" w:ascii="宋体" w:hAnsi="宋体"/>
          <w:szCs w:val="21"/>
        </w:rPr>
        <w:t>分</w:t>
      </w:r>
      <w:r>
        <w:rPr>
          <w:rFonts w:ascii="宋体" w:hAnsi="宋体"/>
          <w:szCs w:val="21"/>
        </w:rPr>
        <w:t>法的，按评审后得分由高到低顺序排列。得分相同的，按投标报价由低到高顺序排列。得分且投标报价相同的，按技术指标优劣顺序排列。</w:t>
      </w:r>
    </w:p>
    <w:p>
      <w:pPr>
        <w:snapToGrid w:val="0"/>
        <w:spacing w:line="360" w:lineRule="auto"/>
        <w:rPr>
          <w:rFonts w:ascii="黑体" w:hAnsi="宋体" w:eastAsia="黑体"/>
          <w:sz w:val="24"/>
        </w:rPr>
      </w:pPr>
      <w:r>
        <w:rPr>
          <w:rFonts w:hint="eastAsia" w:ascii="黑体" w:hAnsi="宋体" w:eastAsia="黑体"/>
          <w:sz w:val="24"/>
        </w:rPr>
        <w:t>30．编写评审报告</w:t>
      </w:r>
      <w:bookmarkEnd w:id="201"/>
    </w:p>
    <w:p>
      <w:pPr>
        <w:snapToGrid w:val="0"/>
        <w:spacing w:line="360" w:lineRule="auto"/>
        <w:ind w:firstLine="411" w:firstLineChars="196"/>
        <w:rPr>
          <w:rFonts w:ascii="宋体" w:hAnsi="宋体"/>
          <w:szCs w:val="21"/>
        </w:rPr>
      </w:pPr>
      <w:r>
        <w:rPr>
          <w:rFonts w:hint="eastAsia" w:ascii="宋体" w:hAnsi="宋体"/>
          <w:szCs w:val="21"/>
        </w:rPr>
        <w:t>评审报告是评审委员会根据全体评标成员签字的原始评标记录和评标结果编写的报告，评审报告由评审委员会全体成员签字。对评标结论持有异议的评审委员会成员可以书面方式阐述其不同意见和理由。评审委员会成员拒绝在评审报告上签字且不陈述其不同意见和理由的，视为同意评标结论。评审委员会应当对此作出书面说明并记录在案。</w:t>
      </w:r>
    </w:p>
    <w:p>
      <w:pPr>
        <w:snapToGrid w:val="0"/>
        <w:spacing w:line="360" w:lineRule="auto"/>
        <w:rPr>
          <w:rFonts w:ascii="黑体" w:hAnsi="宋体" w:eastAsia="黑体"/>
          <w:sz w:val="24"/>
        </w:rPr>
      </w:pPr>
      <w:bookmarkStart w:id="202" w:name="_Toc100052405"/>
      <w:bookmarkStart w:id="203" w:name="_Toc73521676"/>
      <w:bookmarkStart w:id="204" w:name="_Toc73521588"/>
      <w:bookmarkStart w:id="205" w:name="_Toc73518159"/>
      <w:bookmarkStart w:id="206" w:name="_Toc73517681"/>
      <w:r>
        <w:rPr>
          <w:rFonts w:hint="eastAsia" w:ascii="黑体" w:hAnsi="宋体" w:eastAsia="黑体"/>
          <w:sz w:val="24"/>
        </w:rPr>
        <w:t>31．中标结果</w:t>
      </w:r>
      <w:bookmarkEnd w:id="202"/>
    </w:p>
    <w:p>
      <w:pPr>
        <w:snapToGrid w:val="0"/>
        <w:spacing w:line="360" w:lineRule="auto"/>
        <w:ind w:firstLine="411" w:firstLineChars="196"/>
        <w:rPr>
          <w:rFonts w:ascii="宋体" w:hAnsi="宋体"/>
          <w:szCs w:val="21"/>
        </w:rPr>
      </w:pPr>
      <w:r>
        <w:rPr>
          <w:rFonts w:hint="eastAsia" w:ascii="宋体" w:hAnsi="宋体"/>
          <w:szCs w:val="21"/>
        </w:rPr>
        <w:t>31.1为体现“公开、公平、公正”的原则，评标结束后，政府采购代理机构将在主管部门指定的政府采购网站和招标机构网站（详见招标公告中的查询网址）上同时发布中标结果公告，公示期为3天。供应商如对评标结果有异议，请于公示期内，以书面形式向我公司反映。若在公示期内未提出异议，则视为认同该评标结果。</w:t>
      </w:r>
    </w:p>
    <w:p>
      <w:pPr>
        <w:snapToGrid w:val="0"/>
        <w:spacing w:line="360" w:lineRule="auto"/>
        <w:ind w:firstLine="411" w:firstLineChars="196"/>
        <w:rPr>
          <w:rFonts w:ascii="宋体" w:hAnsi="宋体"/>
          <w:szCs w:val="21"/>
        </w:rPr>
      </w:pPr>
      <w:r>
        <w:rPr>
          <w:rFonts w:hint="eastAsia" w:ascii="宋体" w:hAnsi="宋体"/>
          <w:szCs w:val="21"/>
        </w:rPr>
        <w:t>31.2评审委员会不直接向未通过符合性检查的投标人或者未中标的投标人解释落标原因，也不退还投标文件。</w:t>
      </w:r>
    </w:p>
    <w:p>
      <w:pPr>
        <w:snapToGrid w:val="0"/>
        <w:spacing w:line="360" w:lineRule="auto"/>
        <w:rPr>
          <w:rFonts w:ascii="黑体" w:hAnsi="宋体" w:eastAsia="黑体"/>
          <w:sz w:val="24"/>
        </w:rPr>
      </w:pPr>
      <w:bookmarkStart w:id="207" w:name="_Toc100052406"/>
      <w:r>
        <w:rPr>
          <w:rFonts w:hint="eastAsia" w:ascii="黑体" w:hAnsi="宋体" w:eastAsia="黑体"/>
          <w:sz w:val="24"/>
        </w:rPr>
        <w:t>32．中标通知书</w:t>
      </w:r>
      <w:bookmarkEnd w:id="207"/>
    </w:p>
    <w:p>
      <w:pPr>
        <w:snapToGrid w:val="0"/>
        <w:spacing w:line="360" w:lineRule="auto"/>
        <w:ind w:firstLine="411" w:firstLineChars="196"/>
        <w:rPr>
          <w:rFonts w:ascii="宋体" w:hAnsi="宋体"/>
          <w:szCs w:val="21"/>
        </w:rPr>
      </w:pPr>
      <w:r>
        <w:rPr>
          <w:rFonts w:hint="eastAsia" w:ascii="宋体" w:hAnsi="宋体"/>
          <w:szCs w:val="21"/>
        </w:rPr>
        <w:t>32</w:t>
      </w:r>
      <w:r>
        <w:rPr>
          <w:rFonts w:ascii="宋体" w:hAnsi="宋体"/>
          <w:szCs w:val="21"/>
        </w:rPr>
        <w:t>.</w:t>
      </w:r>
      <w:r>
        <w:rPr>
          <w:rFonts w:hint="eastAsia" w:ascii="宋体" w:hAnsi="宋体"/>
          <w:szCs w:val="21"/>
        </w:rPr>
        <w:t>1</w:t>
      </w:r>
      <w:bookmarkStart w:id="208" w:name="OLE_LINK12"/>
      <w:r>
        <w:rPr>
          <w:rFonts w:hint="eastAsia" w:ascii="宋体" w:hAnsi="宋体"/>
          <w:szCs w:val="21"/>
        </w:rPr>
        <w:t>中标公告公示期结束后,公示期内无人投诉,招标机构将通知中标供应商和采购单位凭单位</w:t>
      </w:r>
      <w:r>
        <w:rPr>
          <w:rFonts w:hint="eastAsia"/>
        </w:rPr>
        <w:t>工作证明或法人授权证明</w:t>
      </w:r>
      <w:r>
        <w:rPr>
          <w:rFonts w:hint="eastAsia" w:ascii="宋体" w:hAnsi="宋体"/>
          <w:szCs w:val="21"/>
        </w:rPr>
        <w:t>及本人身份证直接到友和保险经纪有限公司领取《中标通知书》。</w:t>
      </w:r>
      <w:bookmarkEnd w:id="208"/>
    </w:p>
    <w:bookmarkEnd w:id="203"/>
    <w:bookmarkEnd w:id="204"/>
    <w:bookmarkEnd w:id="205"/>
    <w:bookmarkEnd w:id="206"/>
    <w:p>
      <w:pPr>
        <w:snapToGrid w:val="0"/>
        <w:spacing w:line="360" w:lineRule="auto"/>
        <w:ind w:firstLine="411" w:firstLineChars="196"/>
        <w:rPr>
          <w:rFonts w:ascii="宋体" w:hAnsi="宋体"/>
          <w:szCs w:val="21"/>
        </w:rPr>
      </w:pPr>
      <w:r>
        <w:rPr>
          <w:rFonts w:ascii="宋体" w:hAnsi="宋体"/>
          <w:szCs w:val="21"/>
        </w:rPr>
        <w:t>3</w:t>
      </w:r>
      <w:r>
        <w:rPr>
          <w:rFonts w:hint="eastAsia" w:ascii="宋体" w:hAnsi="宋体"/>
          <w:szCs w:val="21"/>
        </w:rPr>
        <w:t>2</w:t>
      </w:r>
      <w:r>
        <w:rPr>
          <w:rFonts w:ascii="宋体" w:hAnsi="宋体"/>
          <w:szCs w:val="21"/>
        </w:rPr>
        <w:t>.</w:t>
      </w:r>
      <w:r>
        <w:rPr>
          <w:rFonts w:hint="eastAsia" w:ascii="宋体" w:hAnsi="宋体"/>
          <w:szCs w:val="21"/>
        </w:rPr>
        <w:t>2 中标通知书是合同的重要组成部分。</w:t>
      </w:r>
    </w:p>
    <w:p>
      <w:pPr>
        <w:pStyle w:val="5"/>
        <w:spacing w:line="360" w:lineRule="auto"/>
        <w:jc w:val="center"/>
      </w:pPr>
      <w:bookmarkStart w:id="209" w:name="bt合同的授予"/>
      <w:bookmarkEnd w:id="209"/>
      <w:bookmarkStart w:id="210" w:name="_Toc6435"/>
      <w:bookmarkStart w:id="211" w:name="_Toc73517678"/>
      <w:bookmarkStart w:id="212" w:name="_Toc101074884"/>
      <w:bookmarkStart w:id="213" w:name="_Toc100052407"/>
      <w:bookmarkStart w:id="214" w:name="_Toc73518156"/>
      <w:r>
        <w:rPr>
          <w:rFonts w:hint="eastAsia"/>
        </w:rPr>
        <w:t>第八章公开招标失败的后续处理</w:t>
      </w:r>
      <w:bookmarkEnd w:id="210"/>
    </w:p>
    <w:p>
      <w:pPr>
        <w:snapToGrid w:val="0"/>
        <w:spacing w:line="360" w:lineRule="auto"/>
        <w:rPr>
          <w:rFonts w:ascii="黑体" w:hAnsi="宋体" w:eastAsia="黑体"/>
          <w:sz w:val="24"/>
        </w:rPr>
      </w:pPr>
      <w:r>
        <w:rPr>
          <w:rFonts w:hint="eastAsia" w:ascii="黑体" w:hAnsi="宋体" w:eastAsia="黑体"/>
          <w:sz w:val="24"/>
        </w:rPr>
        <w:t>33．公开招标失败的处理</w:t>
      </w:r>
    </w:p>
    <w:p>
      <w:pPr>
        <w:snapToGrid w:val="0"/>
        <w:spacing w:line="360" w:lineRule="auto"/>
        <w:ind w:firstLine="411" w:firstLineChars="196"/>
        <w:rPr>
          <w:rFonts w:ascii="宋体" w:hAnsi="宋体"/>
        </w:rPr>
      </w:pPr>
      <w:r>
        <w:rPr>
          <w:rFonts w:hint="eastAsia" w:ascii="宋体" w:hAnsi="宋体"/>
          <w:szCs w:val="21"/>
        </w:rPr>
        <w:t>33.1本项目公开招标过程中若由于投标截止后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文件的供应商数量不足、经评审委员会评审对招标文件作实质响应的供应商不足等原因造成公开招标失败，可由政府采购代理机构重新组织采购。</w:t>
      </w:r>
    </w:p>
    <w:p>
      <w:pPr>
        <w:snapToGrid w:val="0"/>
        <w:spacing w:line="360" w:lineRule="auto"/>
        <w:ind w:firstLine="411" w:firstLineChars="196"/>
        <w:rPr>
          <w:rFonts w:ascii="宋体" w:hAnsi="宋体"/>
          <w:szCs w:val="21"/>
        </w:rPr>
      </w:pPr>
      <w:r>
        <w:rPr>
          <w:rFonts w:hint="eastAsia" w:ascii="宋体" w:hAnsi="宋体"/>
          <w:szCs w:val="21"/>
        </w:rPr>
        <w:t>33.2重新组织采购有以下两种组织形式：</w:t>
      </w:r>
    </w:p>
    <w:p>
      <w:pPr>
        <w:snapToGrid w:val="0"/>
        <w:spacing w:line="360" w:lineRule="auto"/>
        <w:ind w:firstLine="411" w:firstLineChars="196"/>
        <w:rPr>
          <w:rFonts w:ascii="宋体" w:hAnsi="宋体"/>
        </w:rPr>
      </w:pPr>
      <w:r>
        <w:rPr>
          <w:rFonts w:hint="eastAsia" w:ascii="宋体" w:hAnsi="宋体"/>
        </w:rPr>
        <w:t>（1）由政府采购代理机构重新组织公开招标；</w:t>
      </w:r>
    </w:p>
    <w:p>
      <w:pPr>
        <w:snapToGrid w:val="0"/>
        <w:spacing w:line="360" w:lineRule="auto"/>
        <w:ind w:firstLine="411" w:firstLineChars="196"/>
        <w:rPr>
          <w:rFonts w:ascii="宋体" w:hAnsi="宋体"/>
        </w:rPr>
      </w:pPr>
      <w:r>
        <w:rPr>
          <w:rFonts w:hint="eastAsia" w:ascii="宋体" w:hAnsi="宋体"/>
        </w:rPr>
        <w:t>（2）根据实际情况需要向政府采购监督管理部门提出非公开招标机构式申请，经政府采购监督管理部门批准公开招标失败采购项目可转为竞争性谈判或单一来源谈判方式采购。</w:t>
      </w:r>
    </w:p>
    <w:p>
      <w:pPr>
        <w:snapToGrid w:val="0"/>
        <w:spacing w:line="360" w:lineRule="auto"/>
        <w:ind w:firstLine="411" w:firstLineChars="196"/>
        <w:rPr>
          <w:rFonts w:ascii="宋体" w:hAnsi="宋体"/>
        </w:rPr>
      </w:pPr>
      <w:r>
        <w:rPr>
          <w:rFonts w:hint="eastAsia" w:ascii="宋体" w:hAnsi="宋体"/>
        </w:rPr>
        <w:t>33.3公开招标失败的采购项目重新组织公开招标，政府采购代理机构要重新按公开招标流程发布招标公告和招标文件、组成评审委员会等组织采购活动。</w:t>
      </w:r>
    </w:p>
    <w:p>
      <w:pPr>
        <w:snapToGrid w:val="0"/>
        <w:spacing w:line="360" w:lineRule="auto"/>
        <w:ind w:firstLine="411" w:firstLineChars="196"/>
        <w:rPr>
          <w:rFonts w:ascii="宋体" w:hAnsi="宋体"/>
        </w:rPr>
      </w:pPr>
      <w:r>
        <w:rPr>
          <w:rFonts w:hint="eastAsia" w:ascii="宋体" w:hAnsi="宋体"/>
        </w:rPr>
        <w:t>33.4公开招标失败的采购项目经政府采购监督管理部门批准转为竞争性谈判或单一来源谈判方式采购的，可不另行制作谈判文件，政府采购代理机构可就原招标文件中资质、技术及评标方法等变动情况向拟谈判对象发出谈判邀请，与原招标文件具同等效力，变动部分以谈判邀请文件为准。转为竞争性谈判或单一来源谈判方式采购的，供应商的原投标文件转为谈判应答文件。</w:t>
      </w:r>
    </w:p>
    <w:p>
      <w:pPr>
        <w:snapToGrid w:val="0"/>
        <w:spacing w:line="360" w:lineRule="auto"/>
        <w:rPr>
          <w:rFonts w:ascii="黑体" w:hAnsi="宋体" w:eastAsia="黑体"/>
          <w:sz w:val="24"/>
        </w:rPr>
      </w:pPr>
      <w:r>
        <w:rPr>
          <w:rFonts w:hint="eastAsia" w:ascii="黑体" w:hAnsi="宋体" w:eastAsia="黑体"/>
          <w:sz w:val="24"/>
        </w:rPr>
        <w:t>34．公开招标失败项目转为竞争性谈判方式采购</w:t>
      </w:r>
    </w:p>
    <w:p>
      <w:pPr>
        <w:snapToGrid w:val="0"/>
        <w:spacing w:line="360" w:lineRule="auto"/>
        <w:ind w:firstLine="413" w:firstLineChars="196"/>
        <w:rPr>
          <w:rFonts w:ascii="宋体" w:hAnsi="宋体"/>
          <w:b/>
          <w:szCs w:val="21"/>
        </w:rPr>
      </w:pPr>
      <w:r>
        <w:rPr>
          <w:rFonts w:hint="eastAsia" w:ascii="宋体" w:hAnsi="宋体"/>
          <w:b/>
          <w:szCs w:val="21"/>
        </w:rPr>
        <w:t>34.1谈判小组</w:t>
      </w:r>
    </w:p>
    <w:p>
      <w:pPr>
        <w:snapToGrid w:val="0"/>
        <w:spacing w:line="360" w:lineRule="auto"/>
        <w:ind w:firstLine="411" w:firstLineChars="196"/>
        <w:rPr>
          <w:rFonts w:ascii="宋体" w:hAnsi="宋体"/>
          <w:szCs w:val="21"/>
        </w:rPr>
      </w:pPr>
      <w:r>
        <w:rPr>
          <w:rFonts w:hint="eastAsia" w:ascii="宋体" w:hAnsi="宋体"/>
          <w:szCs w:val="21"/>
        </w:rPr>
        <w:t>34.1.1公开招标失败项目转为竞争性谈判方式采购后，评审委员会转为谈判小组，</w:t>
      </w:r>
      <w:r>
        <w:rPr>
          <w:rFonts w:hint="eastAsia" w:ascii="宋体" w:hAnsi="宋体"/>
        </w:rPr>
        <w:t>谈判小组成员由采购单位代表和有关专家共3人以上（含3人）的单数组成；其中专家的人数不得少于成员总数的三分之二；专家可重新抽取也可继续采用评审委员会内专家。</w:t>
      </w:r>
    </w:p>
    <w:p>
      <w:pPr>
        <w:tabs>
          <w:tab w:val="left" w:pos="-1080"/>
        </w:tabs>
        <w:snapToGrid w:val="0"/>
        <w:spacing w:line="360" w:lineRule="auto"/>
        <w:ind w:firstLine="420" w:firstLineChars="200"/>
        <w:rPr>
          <w:rFonts w:ascii="宋体" w:hAnsi="宋体"/>
        </w:rPr>
      </w:pPr>
      <w:r>
        <w:rPr>
          <w:rFonts w:hint="eastAsia" w:ascii="宋体" w:hAnsi="宋体"/>
          <w:szCs w:val="21"/>
        </w:rPr>
        <w:t>34.1.2</w:t>
      </w:r>
      <w:r>
        <w:rPr>
          <w:rFonts w:hint="eastAsia" w:ascii="宋体" w:hAnsi="宋体"/>
        </w:rPr>
        <w:t>谈判前，谈判小组将对各供应商的谈判应答文件进行审查，</w:t>
      </w:r>
      <w:r>
        <w:rPr>
          <w:rFonts w:hint="eastAsia" w:ascii="宋体" w:hAnsi="宋体"/>
          <w:bCs/>
        </w:rPr>
        <w:t>当谈判应答文件出现下列情况之一的将视为无效，按废标处理，不得进入谈判，</w:t>
      </w:r>
      <w:r>
        <w:rPr>
          <w:rFonts w:hint="eastAsia" w:ascii="宋体" w:hAnsi="宋体"/>
          <w:b/>
        </w:rPr>
        <w:t>具体内容见原招标文件中投标文件初审表的《资格性检查表》部分以及谈判邀请中相应的变动部分。</w:t>
      </w:r>
    </w:p>
    <w:p>
      <w:pPr>
        <w:snapToGrid w:val="0"/>
        <w:spacing w:line="360" w:lineRule="auto"/>
        <w:ind w:firstLine="413" w:firstLineChars="196"/>
        <w:rPr>
          <w:rFonts w:ascii="宋体" w:hAnsi="宋体"/>
          <w:b/>
          <w:szCs w:val="21"/>
        </w:rPr>
      </w:pPr>
      <w:r>
        <w:rPr>
          <w:rFonts w:hint="eastAsia" w:ascii="宋体" w:hAnsi="宋体"/>
          <w:b/>
          <w:szCs w:val="21"/>
        </w:rPr>
        <w:t>34.2谈判程序</w:t>
      </w:r>
    </w:p>
    <w:p>
      <w:pPr>
        <w:snapToGrid w:val="0"/>
        <w:spacing w:line="360" w:lineRule="auto"/>
        <w:ind w:firstLine="411" w:firstLineChars="196"/>
        <w:rPr>
          <w:rFonts w:ascii="宋体" w:hAnsi="宋体"/>
          <w:szCs w:val="21"/>
        </w:rPr>
      </w:pPr>
      <w:r>
        <w:rPr>
          <w:rFonts w:hint="eastAsia" w:ascii="宋体" w:hAnsi="宋体"/>
          <w:szCs w:val="21"/>
        </w:rPr>
        <w:t>34.2.1参加谈判的供应商和谈判小组成员填写谈判登记表，并交验证明文件（法定代表人证明书、法人授权委托书、被授权的谈判代表身份证原件）。</w:t>
      </w:r>
    </w:p>
    <w:p>
      <w:pPr>
        <w:snapToGrid w:val="0"/>
        <w:spacing w:line="360" w:lineRule="auto"/>
        <w:ind w:firstLine="411" w:firstLineChars="196"/>
        <w:rPr>
          <w:rFonts w:ascii="宋体" w:hAnsi="宋体"/>
          <w:szCs w:val="21"/>
        </w:rPr>
      </w:pPr>
      <w:r>
        <w:rPr>
          <w:rFonts w:hint="eastAsia" w:ascii="宋体" w:hAnsi="宋体"/>
          <w:szCs w:val="21"/>
        </w:rPr>
        <w:t>34.2</w:t>
      </w:r>
      <w:r>
        <w:rPr>
          <w:rFonts w:ascii="宋体" w:hAnsi="宋体"/>
          <w:szCs w:val="21"/>
        </w:rPr>
        <w:t>.2</w:t>
      </w:r>
      <w:r>
        <w:rPr>
          <w:rFonts w:hint="eastAsia" w:ascii="宋体" w:hAnsi="宋体"/>
          <w:szCs w:val="21"/>
        </w:rPr>
        <w:t>谈判小组主持人宣布谈判规则和谈判纪律。</w:t>
      </w:r>
    </w:p>
    <w:p>
      <w:pPr>
        <w:snapToGrid w:val="0"/>
        <w:spacing w:line="360" w:lineRule="auto"/>
        <w:ind w:firstLine="411" w:firstLineChars="196"/>
        <w:rPr>
          <w:rFonts w:ascii="宋体" w:hAnsi="宋体"/>
          <w:szCs w:val="21"/>
        </w:rPr>
      </w:pPr>
      <w:r>
        <w:rPr>
          <w:rFonts w:hint="eastAsia" w:ascii="宋体" w:hAnsi="宋体"/>
          <w:szCs w:val="21"/>
        </w:rPr>
        <w:t>34.2</w:t>
      </w:r>
      <w:r>
        <w:rPr>
          <w:rFonts w:ascii="宋体" w:hAnsi="宋体"/>
          <w:szCs w:val="21"/>
        </w:rPr>
        <w:t>.3</w:t>
      </w:r>
      <w:r>
        <w:rPr>
          <w:rFonts w:hint="eastAsia" w:ascii="宋体" w:hAnsi="宋体"/>
          <w:szCs w:val="21"/>
        </w:rPr>
        <w:t>在谈判中，谈判小组将就以下谈判内容跟供应商进行谈判：</w:t>
      </w:r>
    </w:p>
    <w:p>
      <w:pPr>
        <w:snapToGrid w:val="0"/>
        <w:spacing w:line="360" w:lineRule="auto"/>
        <w:ind w:firstLine="411" w:firstLineChars="196"/>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）项目方案；</w:t>
      </w:r>
    </w:p>
    <w:p>
      <w:pPr>
        <w:snapToGrid w:val="0"/>
        <w:spacing w:line="360" w:lineRule="auto"/>
        <w:ind w:firstLine="411" w:firstLineChars="196"/>
        <w:rPr>
          <w:rFonts w:ascii="宋体" w:hAnsi="宋体"/>
          <w:szCs w:val="21"/>
        </w:rPr>
      </w:pPr>
      <w:r>
        <w:rPr>
          <w:rFonts w:hint="eastAsia" w:ascii="宋体" w:hAnsi="宋体"/>
          <w:szCs w:val="21"/>
        </w:rPr>
        <w:t>（2）报价；</w:t>
      </w:r>
    </w:p>
    <w:p>
      <w:pPr>
        <w:snapToGrid w:val="0"/>
        <w:spacing w:line="360" w:lineRule="auto"/>
        <w:ind w:firstLine="411" w:firstLineChars="196"/>
        <w:rPr>
          <w:rFonts w:ascii="宋体" w:hAnsi="宋体"/>
          <w:szCs w:val="21"/>
        </w:rPr>
      </w:pPr>
      <w:r>
        <w:rPr>
          <w:rFonts w:hint="eastAsia" w:ascii="宋体" w:hAnsi="宋体"/>
          <w:szCs w:val="21"/>
        </w:rPr>
        <w:t>（3）其它相关事项。</w:t>
      </w:r>
    </w:p>
    <w:p>
      <w:pPr>
        <w:snapToGrid w:val="0"/>
        <w:spacing w:line="360" w:lineRule="auto"/>
        <w:ind w:firstLine="411" w:firstLineChars="196"/>
        <w:rPr>
          <w:rFonts w:ascii="宋体" w:hAnsi="宋体"/>
          <w:szCs w:val="21"/>
        </w:rPr>
      </w:pPr>
      <w:r>
        <w:rPr>
          <w:rFonts w:hint="eastAsia" w:ascii="宋体" w:hAnsi="宋体"/>
          <w:szCs w:val="21"/>
        </w:rPr>
        <w:t>原招标文件或谈判邀请文件有实质性变动的，谈判小组应当通过政府采购代理机构通知所有参加谈判的供应商。</w:t>
      </w:r>
    </w:p>
    <w:p>
      <w:pPr>
        <w:snapToGrid w:val="0"/>
        <w:spacing w:line="360" w:lineRule="auto"/>
        <w:ind w:firstLine="411" w:firstLineChars="196"/>
        <w:rPr>
          <w:rFonts w:ascii="宋体" w:hAnsi="宋体"/>
          <w:szCs w:val="21"/>
        </w:rPr>
      </w:pPr>
      <w:r>
        <w:rPr>
          <w:rFonts w:hint="eastAsia" w:ascii="宋体" w:hAnsi="宋体"/>
          <w:szCs w:val="21"/>
        </w:rPr>
        <w:t>34.2.4谈判小组可以用书面形式要求各供应商对其谈判应答文件含义不明确的内容作必要的澄清或者说明，重要问题供应商应以书面形式进行澄清、说明。</w:t>
      </w:r>
    </w:p>
    <w:p>
      <w:pPr>
        <w:snapToGrid w:val="0"/>
        <w:spacing w:line="360" w:lineRule="auto"/>
        <w:ind w:firstLine="411" w:firstLineChars="196"/>
        <w:rPr>
          <w:rFonts w:ascii="宋体" w:hAnsi="宋体"/>
          <w:szCs w:val="21"/>
        </w:rPr>
      </w:pPr>
      <w:r>
        <w:rPr>
          <w:rFonts w:hint="eastAsia" w:ascii="宋体" w:hAnsi="宋体"/>
          <w:szCs w:val="21"/>
        </w:rPr>
        <w:t>34.2</w:t>
      </w:r>
      <w:r>
        <w:rPr>
          <w:rFonts w:ascii="宋体" w:hAnsi="宋体"/>
          <w:szCs w:val="21"/>
        </w:rPr>
        <w:t>.</w:t>
      </w:r>
      <w:r>
        <w:rPr>
          <w:rFonts w:hint="eastAsia" w:ascii="宋体" w:hAnsi="宋体"/>
          <w:szCs w:val="21"/>
        </w:rPr>
        <w:t>5 允许供应商在谈判结束之前根据谈判小组提出的内容进行澄清、修改或完善，或对项目方案进行相应的调整。</w:t>
      </w:r>
    </w:p>
    <w:p>
      <w:pPr>
        <w:snapToGrid w:val="0"/>
        <w:spacing w:line="360" w:lineRule="auto"/>
        <w:ind w:firstLine="411" w:firstLineChars="196"/>
        <w:rPr>
          <w:rFonts w:ascii="宋体" w:hAnsi="宋体"/>
          <w:szCs w:val="21"/>
        </w:rPr>
      </w:pPr>
      <w:r>
        <w:rPr>
          <w:rFonts w:hint="eastAsia" w:ascii="宋体" w:hAnsi="宋体"/>
          <w:szCs w:val="21"/>
        </w:rPr>
        <w:t>34.2</w:t>
      </w:r>
      <w:r>
        <w:rPr>
          <w:rFonts w:ascii="宋体" w:hAnsi="宋体"/>
          <w:szCs w:val="21"/>
        </w:rPr>
        <w:t>.</w:t>
      </w:r>
      <w:r>
        <w:rPr>
          <w:rFonts w:hint="eastAsia" w:ascii="宋体" w:hAnsi="宋体"/>
          <w:szCs w:val="21"/>
        </w:rPr>
        <w:t>6供应商对谈判应答文件进行修改，都应形成文字材料，并经供应商谈判授权人签字认可。</w:t>
      </w:r>
    </w:p>
    <w:p>
      <w:pPr>
        <w:snapToGrid w:val="0"/>
        <w:spacing w:line="360" w:lineRule="auto"/>
        <w:ind w:firstLine="411" w:firstLineChars="196"/>
        <w:rPr>
          <w:rFonts w:ascii="宋体" w:hAnsi="宋体"/>
          <w:szCs w:val="21"/>
        </w:rPr>
      </w:pPr>
      <w:r>
        <w:rPr>
          <w:rFonts w:hint="eastAsia" w:ascii="宋体" w:hAnsi="宋体"/>
          <w:szCs w:val="21"/>
        </w:rPr>
        <w:t>34.2.7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snapToGrid w:val="0"/>
        <w:spacing w:line="360" w:lineRule="auto"/>
        <w:ind w:firstLine="411" w:firstLineChars="196"/>
        <w:rPr>
          <w:rFonts w:ascii="宋体" w:hAnsi="宋体"/>
          <w:szCs w:val="21"/>
        </w:rPr>
      </w:pPr>
      <w:r>
        <w:rPr>
          <w:rFonts w:hint="eastAsia" w:ascii="宋体" w:hAnsi="宋体"/>
          <w:szCs w:val="21"/>
        </w:rPr>
        <w:t>34.2.8有下列情形之一的，该供应商的谈判结果作废标处理，</w:t>
      </w:r>
      <w:r>
        <w:rPr>
          <w:rFonts w:hint="eastAsia" w:ascii="宋体" w:hAnsi="宋体"/>
          <w:b/>
          <w:szCs w:val="21"/>
        </w:rPr>
        <w:t>具体内容见原招标文件中投标文件初审表的《符合性检查表》部分以及谈判邀请中相应的变动部分。</w:t>
      </w:r>
    </w:p>
    <w:p>
      <w:pPr>
        <w:snapToGrid w:val="0"/>
        <w:spacing w:line="360" w:lineRule="auto"/>
        <w:ind w:firstLine="411" w:firstLineChars="196"/>
        <w:rPr>
          <w:rFonts w:ascii="宋体" w:hAnsi="宋体"/>
          <w:szCs w:val="21"/>
        </w:rPr>
      </w:pPr>
      <w:r>
        <w:rPr>
          <w:rFonts w:hint="eastAsia" w:ascii="宋体" w:hAnsi="宋体"/>
          <w:szCs w:val="21"/>
        </w:rPr>
        <w:t>34.2</w:t>
      </w:r>
      <w:r>
        <w:rPr>
          <w:rFonts w:ascii="宋体" w:hAnsi="宋体"/>
          <w:szCs w:val="21"/>
        </w:rPr>
        <w:t>.</w:t>
      </w:r>
      <w:r>
        <w:rPr>
          <w:rFonts w:hint="eastAsia" w:ascii="宋体" w:hAnsi="宋体"/>
          <w:szCs w:val="21"/>
        </w:rPr>
        <w:t>9谈判结束后，谈判小组根据供应商提供的谈判应答文件、谈判过程中产生的相关资料，对供应商谈判应答文件进行评估与比较，提出书面评审意见。</w:t>
      </w:r>
    </w:p>
    <w:p>
      <w:pPr>
        <w:snapToGrid w:val="0"/>
        <w:spacing w:line="360" w:lineRule="auto"/>
        <w:ind w:firstLine="411" w:firstLineChars="196"/>
        <w:rPr>
          <w:rFonts w:ascii="宋体" w:hAnsi="宋体"/>
          <w:szCs w:val="21"/>
        </w:rPr>
      </w:pPr>
      <w:r>
        <w:rPr>
          <w:rFonts w:hint="eastAsia" w:ascii="宋体" w:hAnsi="宋体"/>
          <w:szCs w:val="21"/>
        </w:rPr>
        <w:t>34.2.10谈判小组将对谈判过程进行记录，以存档备查。</w:t>
      </w:r>
    </w:p>
    <w:p>
      <w:pPr>
        <w:snapToGrid w:val="0"/>
        <w:spacing w:line="360" w:lineRule="auto"/>
        <w:ind w:firstLine="413" w:firstLineChars="196"/>
        <w:rPr>
          <w:rFonts w:ascii="宋体" w:hAnsi="宋体"/>
          <w:b/>
          <w:szCs w:val="21"/>
        </w:rPr>
      </w:pPr>
      <w:r>
        <w:rPr>
          <w:rFonts w:hint="eastAsia" w:ascii="宋体" w:hAnsi="宋体"/>
          <w:b/>
          <w:szCs w:val="21"/>
        </w:rPr>
        <w:t>34.3评标方法和定标原则</w:t>
      </w:r>
    </w:p>
    <w:p>
      <w:pPr>
        <w:tabs>
          <w:tab w:val="left" w:pos="-1080"/>
        </w:tabs>
        <w:snapToGrid w:val="0"/>
        <w:spacing w:line="360" w:lineRule="auto"/>
        <w:ind w:firstLine="420" w:firstLineChars="200"/>
        <w:rPr>
          <w:rFonts w:ascii="宋体" w:hAnsi="宋体"/>
        </w:rPr>
      </w:pPr>
      <w:r>
        <w:rPr>
          <w:rFonts w:hint="eastAsia" w:ascii="宋体" w:hAnsi="宋体"/>
          <w:szCs w:val="21"/>
        </w:rPr>
        <w:t>34.3.1</w:t>
      </w:r>
      <w:r>
        <w:rPr>
          <w:rStyle w:val="50"/>
        </w:rPr>
        <w:t xml:space="preserve"> </w:t>
      </w:r>
      <w:r>
        <w:rPr>
          <w:rFonts w:hint="eastAsia" w:ascii="宋体" w:hAnsi="宋体"/>
          <w:szCs w:val="21"/>
        </w:rPr>
        <w:t>竞争性谈判采购项目的评标方法要比照</w:t>
      </w:r>
      <w:r>
        <w:rPr>
          <w:rFonts w:hint="eastAsia" w:ascii="宋体" w:hAnsi="宋体"/>
          <w:b/>
          <w:szCs w:val="21"/>
        </w:rPr>
        <w:t>最低评标价法规定执行</w:t>
      </w:r>
      <w:r>
        <w:rPr>
          <w:rFonts w:hint="eastAsia" w:ascii="宋体" w:hAnsi="宋体"/>
          <w:szCs w:val="21"/>
        </w:rPr>
        <w:t>。如确因实际情况需要采用其他评标方法的，应报经同级政府采购监督管理部门批准。</w:t>
      </w:r>
      <w:r>
        <w:rPr>
          <w:rFonts w:hint="eastAsia" w:ascii="宋体" w:hAnsi="宋体"/>
          <w:b/>
        </w:rPr>
        <w:t>原招标文件若采用</w:t>
      </w:r>
      <w:r>
        <w:rPr>
          <w:rFonts w:hint="eastAsia" w:ascii="宋体" w:hAnsi="宋体"/>
          <w:b/>
          <w:bCs/>
        </w:rPr>
        <w:t>最低评标价法以外的评标方法，转为竞争性谈判后，评标方法应采用</w:t>
      </w:r>
      <w:r>
        <w:rPr>
          <w:rFonts w:hint="eastAsia" w:ascii="宋体" w:hAnsi="宋体"/>
          <w:b/>
          <w:szCs w:val="21"/>
        </w:rPr>
        <w:t>最低评标价法。</w:t>
      </w:r>
    </w:p>
    <w:p>
      <w:pPr>
        <w:tabs>
          <w:tab w:val="left" w:pos="-1080"/>
        </w:tabs>
        <w:snapToGrid w:val="0"/>
        <w:spacing w:line="360" w:lineRule="auto"/>
        <w:ind w:firstLine="420" w:firstLineChars="200"/>
        <w:rPr>
          <w:rFonts w:ascii="宋体" w:hAnsi="宋体"/>
        </w:rPr>
      </w:pPr>
      <w:r>
        <w:rPr>
          <w:rFonts w:hint="eastAsia" w:ascii="宋体" w:hAnsi="宋体"/>
          <w:szCs w:val="21"/>
        </w:rPr>
        <w:t>34.3.2对公开招标失败转为竞争性谈判方式采购的项目，谈判小组</w:t>
      </w:r>
      <w:r>
        <w:rPr>
          <w:rFonts w:hint="eastAsia" w:ascii="宋体" w:hAnsi="宋体"/>
        </w:rPr>
        <w:t>对谈判应答文件进行评审和比较，综合各家供应商最终的方案、服务和投资等谈判结果并按本通用条款第28.1.1款的</w:t>
      </w:r>
      <w:r>
        <w:rPr>
          <w:rFonts w:hint="eastAsia" w:ascii="宋体" w:hAnsi="宋体"/>
          <w:b/>
          <w:bCs/>
        </w:rPr>
        <w:t>最低评标价法</w:t>
      </w:r>
      <w:r>
        <w:rPr>
          <w:rFonts w:hint="eastAsia" w:ascii="宋体" w:hAnsi="宋体"/>
        </w:rPr>
        <w:t>进行评审。</w:t>
      </w:r>
    </w:p>
    <w:p>
      <w:pPr>
        <w:tabs>
          <w:tab w:val="left" w:pos="-1080"/>
        </w:tabs>
        <w:snapToGrid w:val="0"/>
        <w:spacing w:line="360" w:lineRule="auto"/>
        <w:ind w:firstLine="420" w:firstLineChars="200"/>
        <w:rPr>
          <w:rFonts w:ascii="宋体" w:hAnsi="宋体"/>
        </w:rPr>
      </w:pPr>
      <w:r>
        <w:rPr>
          <w:rFonts w:hint="eastAsia" w:ascii="宋体" w:hAnsi="宋体"/>
        </w:rPr>
        <w:t>34.3.3若要采用其他评标方法的，必须</w:t>
      </w:r>
      <w:r>
        <w:rPr>
          <w:rFonts w:hint="eastAsia" w:ascii="宋体" w:hAnsi="宋体"/>
          <w:szCs w:val="21"/>
        </w:rPr>
        <w:t>报经政府采购监督管理部门批准，谈判小组按批准的评标方法进行评审。谈判邀请文件中应注明批准的评标方法。</w:t>
      </w:r>
    </w:p>
    <w:p>
      <w:pPr>
        <w:snapToGrid w:val="0"/>
        <w:spacing w:line="360" w:lineRule="auto"/>
        <w:rPr>
          <w:rFonts w:ascii="黑体" w:hAnsi="宋体" w:eastAsia="黑体"/>
          <w:sz w:val="24"/>
        </w:rPr>
      </w:pPr>
      <w:r>
        <w:rPr>
          <w:rFonts w:hint="eastAsia" w:ascii="黑体" w:hAnsi="宋体" w:eastAsia="黑体"/>
          <w:sz w:val="24"/>
        </w:rPr>
        <w:t>35．公开招标失败项目转为单一来源谈判方式采购</w:t>
      </w:r>
    </w:p>
    <w:p>
      <w:pPr>
        <w:snapToGrid w:val="0"/>
        <w:spacing w:line="360" w:lineRule="auto"/>
        <w:ind w:firstLine="413" w:firstLineChars="196"/>
        <w:rPr>
          <w:rFonts w:ascii="宋体" w:hAnsi="宋体"/>
          <w:b/>
          <w:szCs w:val="21"/>
        </w:rPr>
      </w:pPr>
      <w:r>
        <w:rPr>
          <w:rFonts w:hint="eastAsia" w:ascii="宋体" w:hAnsi="宋体"/>
          <w:b/>
          <w:szCs w:val="21"/>
        </w:rPr>
        <w:t>35.1谈判小组</w:t>
      </w:r>
    </w:p>
    <w:p>
      <w:pPr>
        <w:snapToGrid w:val="0"/>
        <w:spacing w:line="360" w:lineRule="auto"/>
        <w:ind w:firstLine="411" w:firstLineChars="196"/>
        <w:rPr>
          <w:rFonts w:ascii="宋体" w:hAnsi="宋体"/>
          <w:szCs w:val="21"/>
        </w:rPr>
      </w:pPr>
      <w:r>
        <w:rPr>
          <w:rFonts w:hint="eastAsia" w:ascii="宋体" w:hAnsi="宋体"/>
          <w:szCs w:val="21"/>
        </w:rPr>
        <w:t>35.1.1公开招标失败项目转为单一来源谈判方式采购后，评审委员会转为谈判小组，</w:t>
      </w:r>
      <w:r>
        <w:rPr>
          <w:rFonts w:hint="eastAsia" w:ascii="宋体" w:hAnsi="宋体"/>
        </w:rPr>
        <w:t>谈判小组成员由采购单位代表和有关专家共3人以上（含3人）的单数组成；其中专家的人数不得少于成员总数的三分之二；专家可重新抽取也可继续采用评审委员会内专家。</w:t>
      </w:r>
    </w:p>
    <w:p>
      <w:pPr>
        <w:tabs>
          <w:tab w:val="left" w:pos="-1080"/>
        </w:tabs>
        <w:snapToGrid w:val="0"/>
        <w:spacing w:line="360" w:lineRule="auto"/>
        <w:ind w:firstLine="420" w:firstLineChars="200"/>
        <w:rPr>
          <w:rFonts w:ascii="宋体" w:hAnsi="宋体"/>
        </w:rPr>
      </w:pPr>
      <w:r>
        <w:rPr>
          <w:rFonts w:hint="eastAsia" w:ascii="宋体" w:hAnsi="宋体"/>
          <w:szCs w:val="21"/>
        </w:rPr>
        <w:t>35.1.2</w:t>
      </w:r>
      <w:r>
        <w:rPr>
          <w:rFonts w:hint="eastAsia" w:ascii="宋体" w:hAnsi="宋体"/>
        </w:rPr>
        <w:t>谈判前，谈判小组将对单一来源供应商的谈判应答文件进行审查，</w:t>
      </w:r>
      <w:r>
        <w:rPr>
          <w:rFonts w:hint="eastAsia" w:ascii="宋体" w:hAnsi="宋体"/>
          <w:bCs/>
        </w:rPr>
        <w:t>当谈判应答文件出现下列情况之一的将视为无效，按废标处理，不得进入谈判，</w:t>
      </w:r>
      <w:r>
        <w:rPr>
          <w:rFonts w:hint="eastAsia" w:ascii="宋体" w:hAnsi="宋体"/>
          <w:b/>
        </w:rPr>
        <w:t>具体内容见原招标文件中投标文件初审表的《资格性检查表》部分以及谈判邀请中相应的变动部分。</w:t>
      </w:r>
    </w:p>
    <w:p>
      <w:pPr>
        <w:snapToGrid w:val="0"/>
        <w:spacing w:line="360" w:lineRule="auto"/>
        <w:ind w:firstLine="413" w:firstLineChars="196"/>
        <w:rPr>
          <w:rFonts w:ascii="宋体" w:hAnsi="宋体"/>
          <w:b/>
          <w:szCs w:val="21"/>
        </w:rPr>
      </w:pPr>
      <w:r>
        <w:rPr>
          <w:rFonts w:hint="eastAsia" w:ascii="宋体" w:hAnsi="宋体"/>
          <w:b/>
          <w:szCs w:val="21"/>
        </w:rPr>
        <w:t>35.2谈判程序</w:t>
      </w:r>
    </w:p>
    <w:p>
      <w:pPr>
        <w:snapToGrid w:val="0"/>
        <w:spacing w:line="360" w:lineRule="auto"/>
        <w:ind w:firstLine="411" w:firstLineChars="196"/>
        <w:rPr>
          <w:rFonts w:ascii="宋体" w:hAnsi="宋体"/>
          <w:szCs w:val="21"/>
        </w:rPr>
      </w:pPr>
      <w:r>
        <w:rPr>
          <w:rFonts w:hint="eastAsia" w:ascii="宋体" w:hAnsi="宋体"/>
          <w:szCs w:val="21"/>
        </w:rPr>
        <w:t>35.2.1参加谈判的供应商和谈判小组成员填写谈判登记表，并交验证明文件（法定代表人证明书、法人授权委托书、被授权的谈判代表身份证原件）。</w:t>
      </w:r>
    </w:p>
    <w:p>
      <w:pPr>
        <w:snapToGrid w:val="0"/>
        <w:spacing w:line="360" w:lineRule="auto"/>
        <w:ind w:firstLine="411" w:firstLineChars="196"/>
        <w:rPr>
          <w:rFonts w:ascii="宋体" w:hAnsi="宋体"/>
          <w:szCs w:val="21"/>
        </w:rPr>
      </w:pPr>
      <w:r>
        <w:rPr>
          <w:rFonts w:hint="eastAsia" w:ascii="宋体" w:hAnsi="宋体"/>
          <w:szCs w:val="21"/>
        </w:rPr>
        <w:t>35.2</w:t>
      </w:r>
      <w:r>
        <w:rPr>
          <w:rFonts w:ascii="宋体" w:hAnsi="宋体"/>
          <w:szCs w:val="21"/>
        </w:rPr>
        <w:t>.2</w:t>
      </w:r>
      <w:r>
        <w:rPr>
          <w:rFonts w:hint="eastAsia" w:ascii="宋体" w:hAnsi="宋体"/>
          <w:szCs w:val="21"/>
        </w:rPr>
        <w:t>谈判小组主持人宣布谈判规则和谈判纪律。</w:t>
      </w:r>
    </w:p>
    <w:p>
      <w:pPr>
        <w:snapToGrid w:val="0"/>
        <w:spacing w:line="360" w:lineRule="auto"/>
        <w:ind w:firstLine="411" w:firstLineChars="196"/>
        <w:rPr>
          <w:rFonts w:ascii="宋体" w:hAnsi="宋体"/>
          <w:szCs w:val="21"/>
        </w:rPr>
      </w:pPr>
      <w:r>
        <w:rPr>
          <w:rFonts w:hint="eastAsia" w:ascii="宋体" w:hAnsi="宋体"/>
          <w:szCs w:val="21"/>
        </w:rPr>
        <w:t>35.2</w:t>
      </w:r>
      <w:r>
        <w:rPr>
          <w:rFonts w:ascii="宋体" w:hAnsi="宋体"/>
          <w:szCs w:val="21"/>
        </w:rPr>
        <w:t>.3</w:t>
      </w:r>
      <w:r>
        <w:rPr>
          <w:rFonts w:hint="eastAsia" w:ascii="宋体" w:hAnsi="宋体"/>
          <w:szCs w:val="21"/>
        </w:rPr>
        <w:t>在谈判中，谈判小组将就以下谈判内容跟供应商进行谈判：</w:t>
      </w:r>
    </w:p>
    <w:p>
      <w:pPr>
        <w:snapToGrid w:val="0"/>
        <w:spacing w:line="360" w:lineRule="auto"/>
        <w:ind w:firstLine="411" w:firstLineChars="196"/>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）项目方案；</w:t>
      </w:r>
    </w:p>
    <w:p>
      <w:pPr>
        <w:snapToGrid w:val="0"/>
        <w:spacing w:line="360" w:lineRule="auto"/>
        <w:ind w:firstLine="411" w:firstLineChars="196"/>
        <w:rPr>
          <w:rFonts w:ascii="宋体" w:hAnsi="宋体"/>
          <w:szCs w:val="21"/>
        </w:rPr>
      </w:pPr>
      <w:r>
        <w:rPr>
          <w:rFonts w:hint="eastAsia" w:ascii="宋体" w:hAnsi="宋体"/>
          <w:szCs w:val="21"/>
        </w:rPr>
        <w:t>（2）报价；</w:t>
      </w:r>
    </w:p>
    <w:p>
      <w:pPr>
        <w:snapToGrid w:val="0"/>
        <w:spacing w:line="360" w:lineRule="auto"/>
        <w:ind w:firstLine="411" w:firstLineChars="196"/>
        <w:rPr>
          <w:rFonts w:ascii="宋体" w:hAnsi="宋体"/>
          <w:szCs w:val="21"/>
        </w:rPr>
      </w:pPr>
      <w:r>
        <w:rPr>
          <w:rFonts w:hint="eastAsia" w:ascii="宋体" w:hAnsi="宋体"/>
          <w:szCs w:val="21"/>
        </w:rPr>
        <w:t>（3）其它相关事项。</w:t>
      </w:r>
    </w:p>
    <w:p>
      <w:pPr>
        <w:snapToGrid w:val="0"/>
        <w:spacing w:line="360" w:lineRule="auto"/>
        <w:ind w:firstLine="411" w:firstLineChars="196"/>
        <w:rPr>
          <w:rFonts w:ascii="宋体" w:hAnsi="宋体"/>
          <w:szCs w:val="21"/>
        </w:rPr>
      </w:pPr>
      <w:r>
        <w:rPr>
          <w:rFonts w:hint="eastAsia" w:ascii="宋体" w:hAnsi="宋体"/>
          <w:szCs w:val="21"/>
        </w:rPr>
        <w:t>原招标文件或谈判邀请文件有实质性变动的，谈判小组应当通过政府采购代理机构通知供应商。</w:t>
      </w:r>
    </w:p>
    <w:p>
      <w:pPr>
        <w:snapToGrid w:val="0"/>
        <w:spacing w:line="360" w:lineRule="auto"/>
        <w:ind w:firstLine="411" w:firstLineChars="196"/>
        <w:rPr>
          <w:rFonts w:ascii="宋体" w:hAnsi="宋体"/>
          <w:szCs w:val="21"/>
        </w:rPr>
      </w:pPr>
      <w:r>
        <w:rPr>
          <w:rFonts w:hint="eastAsia" w:ascii="宋体" w:hAnsi="宋体"/>
          <w:szCs w:val="21"/>
        </w:rPr>
        <w:t>35.2.4谈判小组可以用书面形式要求供应商对其谈判应答文件含义不明确的内容作必要的澄清或者说明，重要问题供应商应以书面形式进行澄清、说明。</w:t>
      </w:r>
    </w:p>
    <w:p>
      <w:pPr>
        <w:snapToGrid w:val="0"/>
        <w:spacing w:line="360" w:lineRule="auto"/>
        <w:ind w:firstLine="411" w:firstLineChars="196"/>
        <w:rPr>
          <w:rFonts w:ascii="宋体" w:hAnsi="宋体"/>
          <w:szCs w:val="21"/>
        </w:rPr>
      </w:pPr>
      <w:r>
        <w:rPr>
          <w:rFonts w:hint="eastAsia" w:ascii="宋体" w:hAnsi="宋体"/>
          <w:szCs w:val="21"/>
        </w:rPr>
        <w:t>35.2</w:t>
      </w:r>
      <w:r>
        <w:rPr>
          <w:rFonts w:ascii="宋体" w:hAnsi="宋体"/>
          <w:szCs w:val="21"/>
        </w:rPr>
        <w:t>.</w:t>
      </w:r>
      <w:r>
        <w:rPr>
          <w:rFonts w:hint="eastAsia" w:ascii="宋体" w:hAnsi="宋体"/>
          <w:szCs w:val="21"/>
        </w:rPr>
        <w:t>5 允许供应商在谈判结束之前根据谈判小组提出的内容进行澄清、修改或完善，或对项目方案进行相应的调整。</w:t>
      </w:r>
    </w:p>
    <w:p>
      <w:pPr>
        <w:snapToGrid w:val="0"/>
        <w:spacing w:line="360" w:lineRule="auto"/>
        <w:ind w:firstLine="411" w:firstLineChars="196"/>
        <w:rPr>
          <w:rFonts w:ascii="宋体" w:hAnsi="宋体"/>
          <w:szCs w:val="21"/>
        </w:rPr>
      </w:pPr>
      <w:r>
        <w:rPr>
          <w:rFonts w:hint="eastAsia" w:ascii="宋体" w:hAnsi="宋体"/>
          <w:szCs w:val="21"/>
        </w:rPr>
        <w:t>35.2</w:t>
      </w:r>
      <w:r>
        <w:rPr>
          <w:rFonts w:ascii="宋体" w:hAnsi="宋体"/>
          <w:szCs w:val="21"/>
        </w:rPr>
        <w:t>.</w:t>
      </w:r>
      <w:r>
        <w:rPr>
          <w:rFonts w:hint="eastAsia" w:ascii="宋体" w:hAnsi="宋体"/>
          <w:szCs w:val="21"/>
        </w:rPr>
        <w:t>6供应商对谈判应答文件进行修改，都应形成文字材料，并经供应商谈判授权人签字认可。</w:t>
      </w:r>
    </w:p>
    <w:p>
      <w:pPr>
        <w:snapToGrid w:val="0"/>
        <w:spacing w:line="360" w:lineRule="auto"/>
        <w:ind w:firstLine="411" w:firstLineChars="196"/>
        <w:rPr>
          <w:rFonts w:ascii="宋体" w:hAnsi="宋体"/>
          <w:szCs w:val="21"/>
        </w:rPr>
      </w:pPr>
      <w:r>
        <w:rPr>
          <w:rFonts w:hint="eastAsia" w:ascii="宋体" w:hAnsi="宋体"/>
          <w:szCs w:val="21"/>
        </w:rPr>
        <w:t>35.2.7谈判小组与单一来源供应商进行谈判。供应商有两次更改机会；供应商应在规定的时间内提出最后更改及书面承诺。</w:t>
      </w:r>
    </w:p>
    <w:p>
      <w:pPr>
        <w:snapToGrid w:val="0"/>
        <w:spacing w:line="360" w:lineRule="auto"/>
        <w:ind w:firstLine="411" w:firstLineChars="196"/>
        <w:rPr>
          <w:rFonts w:ascii="宋体" w:hAnsi="宋体"/>
          <w:szCs w:val="21"/>
        </w:rPr>
      </w:pPr>
      <w:r>
        <w:rPr>
          <w:rFonts w:hint="eastAsia" w:ascii="宋体" w:hAnsi="宋体"/>
          <w:szCs w:val="21"/>
        </w:rPr>
        <w:t>35.2.8有下列情形之一的，供应商的谈判结果作废标处理，</w:t>
      </w:r>
      <w:r>
        <w:rPr>
          <w:rFonts w:hint="eastAsia" w:ascii="宋体" w:hAnsi="宋体"/>
          <w:b/>
          <w:szCs w:val="21"/>
        </w:rPr>
        <w:t>具体内容见原招标文件中投标文件初审表的《符合性检查表》部分以及谈判邀请中相应的变动部分。</w:t>
      </w:r>
    </w:p>
    <w:p>
      <w:pPr>
        <w:snapToGrid w:val="0"/>
        <w:spacing w:line="360" w:lineRule="auto"/>
        <w:ind w:firstLine="411" w:firstLineChars="196"/>
        <w:rPr>
          <w:rFonts w:ascii="宋体" w:hAnsi="宋体"/>
          <w:szCs w:val="21"/>
        </w:rPr>
      </w:pPr>
      <w:r>
        <w:rPr>
          <w:rFonts w:hint="eastAsia" w:ascii="宋体" w:hAnsi="宋体"/>
          <w:szCs w:val="21"/>
        </w:rPr>
        <w:t>35.2</w:t>
      </w:r>
      <w:r>
        <w:rPr>
          <w:rFonts w:ascii="宋体" w:hAnsi="宋体"/>
          <w:szCs w:val="21"/>
        </w:rPr>
        <w:t>.</w:t>
      </w:r>
      <w:r>
        <w:rPr>
          <w:rFonts w:hint="eastAsia" w:ascii="宋体" w:hAnsi="宋体"/>
          <w:szCs w:val="21"/>
        </w:rPr>
        <w:t>9谈判结束后，谈判小组根据供应商提供的谈判应答文件、谈判过程中产生的相关资料，对供应商谈判应答文件进行评估与比较，提出书面评审意见。</w:t>
      </w:r>
    </w:p>
    <w:p>
      <w:pPr>
        <w:snapToGrid w:val="0"/>
        <w:spacing w:line="360" w:lineRule="auto"/>
        <w:ind w:firstLine="411" w:firstLineChars="196"/>
        <w:rPr>
          <w:rFonts w:ascii="宋体" w:hAnsi="宋体"/>
          <w:szCs w:val="21"/>
        </w:rPr>
      </w:pPr>
      <w:r>
        <w:rPr>
          <w:rFonts w:hint="eastAsia" w:ascii="宋体" w:hAnsi="宋体"/>
          <w:szCs w:val="21"/>
        </w:rPr>
        <w:t>35.2.10谈判小组将对谈判过程进行记录，以存档备查。</w:t>
      </w:r>
    </w:p>
    <w:p>
      <w:pPr>
        <w:snapToGrid w:val="0"/>
        <w:spacing w:line="360" w:lineRule="auto"/>
        <w:ind w:firstLine="413" w:firstLineChars="196"/>
        <w:rPr>
          <w:rFonts w:ascii="宋体" w:hAnsi="宋体"/>
          <w:b/>
          <w:szCs w:val="21"/>
        </w:rPr>
      </w:pPr>
      <w:r>
        <w:rPr>
          <w:rFonts w:hint="eastAsia" w:ascii="宋体" w:hAnsi="宋体"/>
          <w:b/>
          <w:szCs w:val="21"/>
        </w:rPr>
        <w:t>35.3评标方法和定标原则</w:t>
      </w:r>
    </w:p>
    <w:p>
      <w:pPr>
        <w:tabs>
          <w:tab w:val="left" w:pos="-1080"/>
        </w:tabs>
        <w:snapToGrid w:val="0"/>
        <w:spacing w:line="360" w:lineRule="auto"/>
        <w:ind w:firstLine="420" w:firstLineChars="200"/>
        <w:rPr>
          <w:rFonts w:ascii="宋体" w:hAnsi="宋体"/>
        </w:rPr>
      </w:pPr>
      <w:r>
        <w:rPr>
          <w:rFonts w:hint="eastAsia" w:ascii="宋体" w:hAnsi="宋体"/>
          <w:szCs w:val="21"/>
        </w:rPr>
        <w:t>35.3.1</w:t>
      </w:r>
      <w:r>
        <w:rPr>
          <w:rFonts w:hint="eastAsia" w:ascii="宋体" w:hAnsi="宋体"/>
          <w:b/>
          <w:szCs w:val="21"/>
        </w:rPr>
        <w:t>单一来源谈判采用最低评标价法。</w:t>
      </w:r>
      <w:r>
        <w:rPr>
          <w:rFonts w:hint="eastAsia" w:ascii="宋体" w:hAnsi="宋体"/>
        </w:rPr>
        <w:t>原招标文件若采用</w:t>
      </w:r>
      <w:r>
        <w:rPr>
          <w:rFonts w:hint="eastAsia" w:ascii="宋体" w:hAnsi="宋体"/>
          <w:bCs/>
        </w:rPr>
        <w:t>最低评标价法以外的评标方法，转为单一来源后，评标方法改为</w:t>
      </w:r>
      <w:r>
        <w:rPr>
          <w:rFonts w:hint="eastAsia" w:ascii="宋体" w:hAnsi="宋体"/>
          <w:szCs w:val="21"/>
        </w:rPr>
        <w:t>最低评标价法。谈判小组</w:t>
      </w:r>
      <w:r>
        <w:rPr>
          <w:rFonts w:hint="eastAsia" w:ascii="宋体" w:hAnsi="宋体"/>
        </w:rPr>
        <w:t>对谈判应答文件进行评审和比较，对供应商最终的方案、服务和投资等谈判结果按本通用条款第28.1.1款的</w:t>
      </w:r>
      <w:r>
        <w:rPr>
          <w:rFonts w:hint="eastAsia" w:ascii="宋体" w:hAnsi="宋体"/>
          <w:b/>
          <w:bCs/>
        </w:rPr>
        <w:t>最低评标价法</w:t>
      </w:r>
      <w:r>
        <w:rPr>
          <w:rFonts w:hint="eastAsia" w:ascii="宋体" w:hAnsi="宋体"/>
        </w:rPr>
        <w:t>进行评审。</w:t>
      </w:r>
    </w:p>
    <w:p>
      <w:pPr>
        <w:tabs>
          <w:tab w:val="left" w:pos="-1080"/>
        </w:tabs>
        <w:snapToGrid w:val="0"/>
        <w:spacing w:line="360" w:lineRule="auto"/>
        <w:ind w:firstLine="420" w:firstLineChars="200"/>
        <w:rPr>
          <w:rFonts w:ascii="宋体" w:hAnsi="宋体"/>
        </w:rPr>
      </w:pPr>
    </w:p>
    <w:p>
      <w:pPr>
        <w:pStyle w:val="2"/>
      </w:pPr>
    </w:p>
    <w:p>
      <w:pPr>
        <w:pStyle w:val="5"/>
        <w:spacing w:line="360" w:lineRule="auto"/>
        <w:jc w:val="center"/>
      </w:pPr>
      <w:bookmarkStart w:id="215" w:name="_Toc16670"/>
      <w:r>
        <w:rPr>
          <w:rFonts w:hint="eastAsia"/>
        </w:rPr>
        <w:t>第九章合同的授予</w:t>
      </w:r>
      <w:bookmarkEnd w:id="211"/>
      <w:bookmarkEnd w:id="212"/>
      <w:bookmarkEnd w:id="213"/>
      <w:bookmarkEnd w:id="214"/>
      <w:bookmarkEnd w:id="215"/>
    </w:p>
    <w:p>
      <w:pPr>
        <w:snapToGrid w:val="0"/>
        <w:spacing w:line="360" w:lineRule="auto"/>
        <w:rPr>
          <w:rFonts w:ascii="黑体" w:hAnsi="宋体" w:eastAsia="黑体"/>
          <w:sz w:val="24"/>
        </w:rPr>
      </w:pPr>
      <w:bookmarkStart w:id="216" w:name="_33._合同授予标准"/>
      <w:bookmarkEnd w:id="216"/>
      <w:bookmarkStart w:id="217" w:name="_Toc73517679"/>
      <w:bookmarkStart w:id="218" w:name="_Toc73518157"/>
      <w:bookmarkStart w:id="219" w:name="_Toc73521586"/>
      <w:bookmarkStart w:id="220" w:name="_Toc73521674"/>
      <w:bookmarkStart w:id="221" w:name="_Toc100052408"/>
      <w:r>
        <w:rPr>
          <w:rFonts w:hint="eastAsia" w:ascii="黑体" w:hAnsi="宋体" w:eastAsia="黑体"/>
          <w:sz w:val="24"/>
        </w:rPr>
        <w:t>36．合同授予标准</w:t>
      </w:r>
      <w:bookmarkEnd w:id="217"/>
      <w:bookmarkEnd w:id="218"/>
      <w:bookmarkEnd w:id="219"/>
      <w:bookmarkEnd w:id="220"/>
      <w:bookmarkEnd w:id="221"/>
    </w:p>
    <w:p>
      <w:pPr>
        <w:snapToGrid w:val="0"/>
        <w:spacing w:line="360" w:lineRule="auto"/>
        <w:ind w:firstLine="411" w:firstLineChars="196"/>
        <w:rPr>
          <w:rFonts w:ascii="宋体" w:hAnsi="宋体"/>
          <w:szCs w:val="21"/>
        </w:rPr>
      </w:pPr>
      <w:r>
        <w:rPr>
          <w:rFonts w:hint="eastAsia" w:ascii="宋体" w:hAnsi="宋体"/>
          <w:szCs w:val="21"/>
        </w:rPr>
        <w:t>36</w:t>
      </w:r>
      <w:r>
        <w:rPr>
          <w:rFonts w:ascii="宋体" w:hAnsi="宋体"/>
          <w:szCs w:val="21"/>
        </w:rPr>
        <w:t>.1</w:t>
      </w:r>
      <w:r>
        <w:rPr>
          <w:rFonts w:hint="eastAsia" w:ascii="宋体" w:hAnsi="宋体"/>
          <w:szCs w:val="21"/>
        </w:rPr>
        <w:t>本项目的合同将授予按本通用条款第七章所确定的中标人。</w:t>
      </w:r>
    </w:p>
    <w:p>
      <w:pPr>
        <w:snapToGrid w:val="0"/>
        <w:spacing w:line="360" w:lineRule="auto"/>
        <w:rPr>
          <w:rFonts w:ascii="黑体" w:hAnsi="宋体" w:eastAsia="黑体"/>
          <w:sz w:val="24"/>
        </w:rPr>
      </w:pPr>
      <w:bookmarkStart w:id="222" w:name="_Toc73517680"/>
      <w:bookmarkStart w:id="223" w:name="_Toc73521675"/>
      <w:bookmarkStart w:id="224" w:name="_Toc73518158"/>
      <w:bookmarkStart w:id="225" w:name="_Toc73521587"/>
      <w:bookmarkStart w:id="226" w:name="_Toc100052409"/>
      <w:r>
        <w:rPr>
          <w:rFonts w:hint="eastAsia" w:ascii="黑体" w:hAnsi="宋体" w:eastAsia="黑体"/>
          <w:sz w:val="24"/>
        </w:rPr>
        <w:t>37．</w:t>
      </w:r>
      <w:bookmarkEnd w:id="222"/>
      <w:bookmarkEnd w:id="223"/>
      <w:bookmarkEnd w:id="224"/>
      <w:bookmarkEnd w:id="225"/>
      <w:bookmarkEnd w:id="226"/>
      <w:r>
        <w:rPr>
          <w:rFonts w:hint="eastAsia" w:ascii="黑体" w:hAnsi="宋体" w:eastAsia="黑体"/>
          <w:sz w:val="24"/>
        </w:rPr>
        <w:t>接受和拒绝任何或所有投标的权力</w:t>
      </w:r>
    </w:p>
    <w:p>
      <w:pPr>
        <w:snapToGrid w:val="0"/>
        <w:spacing w:line="360" w:lineRule="auto"/>
        <w:ind w:firstLine="411" w:firstLineChars="196"/>
        <w:rPr>
          <w:rFonts w:ascii="宋体" w:hAnsi="宋体"/>
          <w:szCs w:val="21"/>
        </w:rPr>
      </w:pPr>
      <w:r>
        <w:rPr>
          <w:rFonts w:hint="eastAsia" w:ascii="宋体" w:hAnsi="宋体"/>
          <w:szCs w:val="21"/>
        </w:rPr>
        <w:t>37.1政府采购代理机构和采购单位保留在投标之前任何时候接受或拒绝任何投标或所有投标，以及宣布招标无效的权力，对受影响的投标人不承担任何责任，也无义务向受影响的投标人解释采取这一行动的理由。</w:t>
      </w:r>
    </w:p>
    <w:p>
      <w:pPr>
        <w:snapToGrid w:val="0"/>
        <w:spacing w:line="360" w:lineRule="auto"/>
        <w:rPr>
          <w:rFonts w:ascii="黑体" w:hAnsi="宋体" w:eastAsia="黑体"/>
          <w:sz w:val="24"/>
        </w:rPr>
      </w:pPr>
      <w:bookmarkStart w:id="227" w:name="_Toc73517682"/>
      <w:bookmarkStart w:id="228" w:name="_Toc73521677"/>
      <w:bookmarkStart w:id="229" w:name="_Toc73518160"/>
      <w:bookmarkStart w:id="230" w:name="_Toc100052410"/>
      <w:bookmarkStart w:id="231" w:name="_Toc73521589"/>
      <w:r>
        <w:rPr>
          <w:rFonts w:hint="eastAsia" w:ascii="黑体" w:hAnsi="宋体" w:eastAsia="黑体"/>
          <w:sz w:val="24"/>
        </w:rPr>
        <w:t>38．合同协议书的签订</w:t>
      </w:r>
      <w:bookmarkEnd w:id="227"/>
      <w:bookmarkEnd w:id="228"/>
      <w:bookmarkEnd w:id="229"/>
      <w:bookmarkEnd w:id="230"/>
      <w:bookmarkEnd w:id="231"/>
    </w:p>
    <w:p>
      <w:pPr>
        <w:snapToGrid w:val="0"/>
        <w:spacing w:line="360" w:lineRule="auto"/>
        <w:ind w:firstLine="411" w:firstLineChars="196"/>
        <w:rPr>
          <w:rFonts w:ascii="宋体" w:hAnsi="宋体"/>
          <w:szCs w:val="21"/>
        </w:rPr>
      </w:pPr>
      <w:r>
        <w:rPr>
          <w:rFonts w:hint="eastAsia" w:ascii="宋体" w:hAnsi="宋体"/>
          <w:szCs w:val="21"/>
        </w:rPr>
        <w:t>38.1中标人将于中标通知书发出之日起</w:t>
      </w:r>
      <w:r>
        <w:rPr>
          <w:rFonts w:hint="eastAsia" w:ascii="宋体" w:hAnsi="宋体"/>
          <w:szCs w:val="21"/>
          <w:u w:val="single"/>
        </w:rPr>
        <w:t xml:space="preserve"> 10 </w:t>
      </w:r>
      <w:r>
        <w:rPr>
          <w:rFonts w:hint="eastAsia" w:ascii="宋体" w:hAnsi="宋体"/>
          <w:szCs w:val="21"/>
        </w:rPr>
        <w:t>个工作日内，按照招标文件和投标文件内容与采购单位签订书面合同，合同书可参考本招标文件第二册第四章规定的合同样本；</w:t>
      </w:r>
    </w:p>
    <w:p>
      <w:pPr>
        <w:snapToGrid w:val="0"/>
        <w:spacing w:line="360" w:lineRule="auto"/>
        <w:ind w:firstLine="411" w:firstLineChars="196"/>
        <w:rPr>
          <w:rFonts w:ascii="宋体" w:hAnsi="宋体"/>
          <w:szCs w:val="21"/>
        </w:rPr>
      </w:pPr>
      <w:r>
        <w:rPr>
          <w:rFonts w:hint="eastAsia" w:ascii="宋体" w:hAnsi="宋体"/>
          <w:szCs w:val="21"/>
        </w:rPr>
        <w:t>38.2中标人如不按本本通用条款第38</w:t>
      </w:r>
      <w:r>
        <w:rPr>
          <w:rFonts w:ascii="宋体" w:hAnsi="宋体"/>
          <w:szCs w:val="21"/>
        </w:rPr>
        <w:t>.1</w:t>
      </w:r>
      <w:r>
        <w:rPr>
          <w:rFonts w:hint="eastAsia" w:ascii="宋体" w:hAnsi="宋体"/>
          <w:szCs w:val="21"/>
        </w:rPr>
        <w:t>款的规定与采购单位签订合同，给政府采购代理机构造成的损失的，还应当予以赔偿，同时承担相应法律责任；</w:t>
      </w:r>
    </w:p>
    <w:p>
      <w:pPr>
        <w:snapToGrid w:val="0"/>
        <w:spacing w:line="360" w:lineRule="auto"/>
        <w:ind w:firstLine="411" w:firstLineChars="196"/>
        <w:rPr>
          <w:rFonts w:ascii="宋体" w:hAnsi="宋体"/>
          <w:szCs w:val="21"/>
        </w:rPr>
      </w:pPr>
      <w:r>
        <w:rPr>
          <w:rFonts w:hint="eastAsia" w:ascii="宋体" w:hAnsi="宋体"/>
          <w:szCs w:val="21"/>
        </w:rPr>
        <w:t>38.3中标人应当按照合同约定履行义务，完成中标项目，未经采购人及监管部门许可不得将中标项目转让（转包）给他人；</w:t>
      </w:r>
    </w:p>
    <w:p>
      <w:pPr>
        <w:snapToGrid w:val="0"/>
        <w:spacing w:line="360" w:lineRule="auto"/>
        <w:ind w:firstLine="411" w:firstLineChars="196"/>
        <w:rPr>
          <w:rFonts w:ascii="宋体" w:hAnsi="宋体"/>
          <w:szCs w:val="21"/>
        </w:rPr>
      </w:pPr>
      <w:r>
        <w:rPr>
          <w:rFonts w:hint="eastAsia" w:ascii="宋体" w:hAnsi="宋体"/>
          <w:szCs w:val="21"/>
        </w:rPr>
        <w:t>38.4采购人与中标人签订的合同必须遵守本招标文件的合同条件，并且不得更改合同条件。</w:t>
      </w:r>
    </w:p>
    <w:p>
      <w:pPr>
        <w:snapToGrid w:val="0"/>
        <w:spacing w:line="360" w:lineRule="auto"/>
        <w:rPr>
          <w:rFonts w:ascii="黑体" w:hAnsi="宋体" w:eastAsia="黑体"/>
          <w:sz w:val="24"/>
        </w:rPr>
      </w:pPr>
      <w:bookmarkStart w:id="232" w:name="_Toc73518161"/>
      <w:bookmarkStart w:id="233" w:name="_Toc73517683"/>
      <w:bookmarkStart w:id="234" w:name="_Toc100052411"/>
      <w:bookmarkStart w:id="235" w:name="_Toc73521590"/>
      <w:bookmarkStart w:id="236" w:name="_Toc73521678"/>
      <w:r>
        <w:rPr>
          <w:rFonts w:hint="eastAsia" w:ascii="黑体" w:hAnsi="宋体" w:eastAsia="黑体"/>
          <w:sz w:val="24"/>
        </w:rPr>
        <w:t>39．履约担保</w:t>
      </w:r>
      <w:bookmarkEnd w:id="232"/>
      <w:bookmarkEnd w:id="233"/>
      <w:bookmarkEnd w:id="234"/>
      <w:bookmarkEnd w:id="235"/>
      <w:bookmarkEnd w:id="236"/>
    </w:p>
    <w:p>
      <w:pPr>
        <w:snapToGrid w:val="0"/>
        <w:spacing w:line="360" w:lineRule="auto"/>
        <w:ind w:firstLine="411" w:firstLineChars="196"/>
        <w:rPr>
          <w:rFonts w:ascii="宋体" w:hAnsi="宋体"/>
          <w:szCs w:val="21"/>
        </w:rPr>
      </w:pPr>
      <w:r>
        <w:rPr>
          <w:rFonts w:hint="eastAsia" w:ascii="宋体" w:hAnsi="宋体"/>
          <w:szCs w:val="21"/>
        </w:rPr>
        <w:t>39.1在签订项目承包合同的同时，中标人应按投标须知前附表第21项规定的金额向采购单位提交履约保函或履约保证金；</w:t>
      </w:r>
    </w:p>
    <w:p>
      <w:pPr>
        <w:snapToGrid w:val="0"/>
        <w:spacing w:line="360" w:lineRule="auto"/>
        <w:ind w:firstLine="411" w:firstLineChars="196"/>
        <w:rPr>
          <w:rFonts w:ascii="宋体" w:hAnsi="宋体"/>
          <w:szCs w:val="21"/>
        </w:rPr>
      </w:pPr>
      <w:r>
        <w:rPr>
          <w:rFonts w:hint="eastAsia" w:ascii="宋体" w:hAnsi="宋体"/>
          <w:szCs w:val="21"/>
        </w:rPr>
        <w:t>39.2如果中标人不能按本通用条款第39</w:t>
      </w:r>
      <w:r>
        <w:rPr>
          <w:rFonts w:ascii="宋体" w:hAnsi="宋体"/>
          <w:szCs w:val="21"/>
        </w:rPr>
        <w:t>.1</w:t>
      </w:r>
      <w:r>
        <w:rPr>
          <w:rFonts w:hint="eastAsia" w:ascii="宋体" w:hAnsi="宋体"/>
          <w:szCs w:val="21"/>
        </w:rPr>
        <w:t>款的规</w:t>
      </w:r>
      <w:r>
        <w:rPr>
          <w:rFonts w:hint="eastAsia"/>
        </w:rPr>
        <w:t>定执行，采购单位将有充分的理由通过政府采购监督管理部门废除中标，给采购单位造成</w:t>
      </w:r>
      <w:r>
        <w:rPr>
          <w:rFonts w:hint="eastAsia" w:ascii="宋体" w:hAnsi="宋体"/>
          <w:szCs w:val="21"/>
        </w:rPr>
        <w:t>的还应当予以赔偿；</w:t>
      </w:r>
    </w:p>
    <w:p>
      <w:pPr>
        <w:snapToGrid w:val="0"/>
        <w:spacing w:line="360" w:lineRule="auto"/>
        <w:ind w:firstLine="411" w:firstLineChars="196"/>
        <w:rPr>
          <w:rFonts w:ascii="宋体" w:hAnsi="宋体"/>
          <w:szCs w:val="21"/>
        </w:rPr>
      </w:pPr>
      <w:r>
        <w:rPr>
          <w:rFonts w:hint="eastAsia" w:ascii="宋体" w:hAnsi="宋体"/>
          <w:szCs w:val="21"/>
        </w:rPr>
        <w:t>39</w:t>
      </w:r>
      <w:r>
        <w:rPr>
          <w:rFonts w:ascii="宋体" w:hAnsi="宋体"/>
          <w:szCs w:val="21"/>
        </w:rPr>
        <w:t>.</w:t>
      </w:r>
      <w:r>
        <w:rPr>
          <w:rFonts w:hint="eastAsia" w:ascii="宋体" w:hAnsi="宋体"/>
          <w:szCs w:val="21"/>
        </w:rPr>
        <w:t>3项目结束之后，经验收合格，采购单位在七日内办理退还履约担保手续。</w:t>
      </w:r>
    </w:p>
    <w:p>
      <w:pPr>
        <w:snapToGrid w:val="0"/>
        <w:spacing w:line="360" w:lineRule="auto"/>
        <w:rPr>
          <w:rFonts w:ascii="黑体" w:hAnsi="宋体" w:eastAsia="黑体"/>
          <w:sz w:val="24"/>
        </w:rPr>
      </w:pPr>
      <w:r>
        <w:rPr>
          <w:rFonts w:hint="eastAsia" w:ascii="黑体" w:hAnsi="宋体" w:eastAsia="黑体"/>
          <w:sz w:val="24"/>
        </w:rPr>
        <w:t>40．招标代理服务费</w:t>
      </w:r>
    </w:p>
    <w:p>
      <w:pPr>
        <w:snapToGrid w:val="0"/>
        <w:spacing w:line="360" w:lineRule="auto"/>
        <w:ind w:firstLine="411" w:firstLineChars="196"/>
        <w:rPr>
          <w:rFonts w:ascii="宋体" w:hAnsi="宋体"/>
          <w:szCs w:val="21"/>
        </w:rPr>
      </w:pPr>
      <w:r>
        <w:rPr>
          <w:rFonts w:hint="eastAsia" w:ascii="宋体" w:hAnsi="宋体"/>
          <w:szCs w:val="21"/>
        </w:rPr>
        <w:t>40.1根据原国家计委《招标代理服务收费管理暂行办法》（计价格[2002]1980号）和国家发改委办公厅《关于招标代理服务收费有关问题的通知》（发改办价格[2003]857号）文件相关规定，</w:t>
      </w:r>
      <w:r>
        <w:rPr>
          <w:rFonts w:ascii="宋体" w:hAnsi="宋体"/>
          <w:szCs w:val="21"/>
        </w:rPr>
        <w:t>招标代理服务费</w:t>
      </w:r>
      <w:r>
        <w:rPr>
          <w:rFonts w:hint="eastAsia" w:ascii="宋体" w:hAnsi="宋体"/>
          <w:szCs w:val="21"/>
        </w:rPr>
        <w:t>以</w:t>
      </w:r>
      <w:r>
        <w:rPr>
          <w:rFonts w:ascii="宋体" w:hAnsi="宋体"/>
          <w:szCs w:val="21"/>
        </w:rPr>
        <w:t>中标金额</w:t>
      </w:r>
      <w:r>
        <w:rPr>
          <w:rFonts w:hint="eastAsia" w:ascii="宋体" w:hAnsi="宋体"/>
          <w:szCs w:val="21"/>
        </w:rPr>
        <w:t>为基数、按</w:t>
      </w:r>
      <w:r>
        <w:rPr>
          <w:rFonts w:ascii="宋体" w:hAnsi="宋体"/>
          <w:szCs w:val="21"/>
        </w:rPr>
        <w:t>差额定率累进法</w:t>
      </w:r>
      <w:r>
        <w:rPr>
          <w:rFonts w:hint="eastAsia" w:ascii="宋体" w:hAnsi="宋体"/>
          <w:szCs w:val="21"/>
        </w:rPr>
        <w:t>。</w:t>
      </w:r>
      <w:r>
        <w:rPr>
          <w:rFonts w:hint="eastAsia" w:ascii="宋体" w:hAnsi="宋体"/>
          <w:b/>
          <w:szCs w:val="21"/>
        </w:rPr>
        <w:t>按计取费率标准计算的服务费低于6000元时，按6000元计取</w:t>
      </w:r>
      <w:r>
        <w:rPr>
          <w:rFonts w:hint="eastAsia" w:ascii="宋体" w:hAnsi="宋体"/>
          <w:szCs w:val="21"/>
        </w:rPr>
        <w:t>。具体</w:t>
      </w:r>
      <w:r>
        <w:rPr>
          <w:rFonts w:ascii="宋体" w:hAnsi="宋体"/>
          <w:szCs w:val="21"/>
        </w:rPr>
        <w:t>计取费率标准</w:t>
      </w:r>
      <w:r>
        <w:rPr>
          <w:rFonts w:hint="eastAsia" w:ascii="宋体" w:hAnsi="宋体"/>
          <w:szCs w:val="21"/>
        </w:rPr>
        <w:t>如下表所示：</w:t>
      </w:r>
    </w:p>
    <w:p>
      <w:pPr>
        <w:snapToGrid w:val="0"/>
        <w:ind w:firstLine="411" w:firstLineChars="196"/>
        <w:jc w:val="center"/>
      </w:pPr>
      <w:r>
        <w:drawing>
          <wp:inline distT="0" distB="0" distL="114300" distR="114300">
            <wp:extent cx="4413885" cy="3452495"/>
            <wp:effectExtent l="0" t="0" r="571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stretch>
                      <a:fillRect/>
                    </a:stretch>
                  </pic:blipFill>
                  <pic:spPr>
                    <a:xfrm>
                      <a:off x="0" y="0"/>
                      <a:ext cx="4413885" cy="3452495"/>
                    </a:xfrm>
                    <a:prstGeom prst="rect">
                      <a:avLst/>
                    </a:prstGeom>
                    <a:noFill/>
                    <a:ln>
                      <a:noFill/>
                    </a:ln>
                  </pic:spPr>
                </pic:pic>
              </a:graphicData>
            </a:graphic>
          </wp:inline>
        </w:drawing>
      </w:r>
    </w:p>
    <w:p>
      <w:pPr>
        <w:snapToGrid w:val="0"/>
        <w:spacing w:line="360" w:lineRule="auto"/>
        <w:ind w:firstLine="411" w:firstLineChars="196"/>
        <w:rPr>
          <w:rFonts w:ascii="宋体" w:hAnsi="宋体"/>
          <w:szCs w:val="21"/>
        </w:rPr>
      </w:pPr>
      <w:r>
        <w:rPr>
          <w:rFonts w:ascii="宋体" w:hAnsi="宋体"/>
          <w:szCs w:val="21"/>
        </w:rPr>
        <w:t>例如：某</w:t>
      </w:r>
      <w:r>
        <w:rPr>
          <w:rFonts w:hint="eastAsia" w:ascii="宋体" w:hAnsi="宋体"/>
          <w:szCs w:val="21"/>
        </w:rPr>
        <w:t>服务</w:t>
      </w:r>
      <w:r>
        <w:rPr>
          <w:rFonts w:ascii="宋体" w:hAnsi="宋体"/>
          <w:szCs w:val="21"/>
        </w:rPr>
        <w:t>招标代理业务中标金额为</w:t>
      </w:r>
      <w:r>
        <w:rPr>
          <w:rFonts w:hint="eastAsia" w:ascii="宋体" w:hAnsi="宋体"/>
          <w:szCs w:val="21"/>
        </w:rPr>
        <w:t>600</w:t>
      </w:r>
      <w:r>
        <w:rPr>
          <w:rFonts w:ascii="宋体" w:hAnsi="宋体"/>
          <w:szCs w:val="21"/>
        </w:rPr>
        <w:t>万元，计算招标代理服务收费额如下：</w:t>
      </w:r>
    </w:p>
    <w:p>
      <w:pPr>
        <w:snapToGrid w:val="0"/>
        <w:spacing w:line="360" w:lineRule="auto"/>
        <w:ind w:firstLine="411" w:firstLineChars="196"/>
        <w:rPr>
          <w:rFonts w:ascii="宋体" w:hAnsi="宋体"/>
          <w:szCs w:val="21"/>
        </w:rPr>
      </w:pPr>
      <w:r>
        <w:rPr>
          <w:rFonts w:ascii="宋体" w:hAnsi="宋体"/>
          <w:szCs w:val="21"/>
        </w:rPr>
        <w:t>100万元×1.</w:t>
      </w:r>
      <w:r>
        <w:rPr>
          <w:rFonts w:hint="eastAsia" w:ascii="宋体" w:hAnsi="宋体"/>
          <w:szCs w:val="21"/>
        </w:rPr>
        <w:t>5</w:t>
      </w:r>
      <w:r>
        <w:rPr>
          <w:rFonts w:ascii="宋体" w:hAnsi="宋体"/>
          <w:szCs w:val="21"/>
        </w:rPr>
        <w:t>%=1</w:t>
      </w:r>
      <w:r>
        <w:rPr>
          <w:rFonts w:hint="eastAsia" w:ascii="宋体" w:hAnsi="宋体"/>
          <w:szCs w:val="21"/>
        </w:rPr>
        <w:t>.5</w:t>
      </w:r>
      <w:r>
        <w:rPr>
          <w:rFonts w:ascii="宋体" w:hAnsi="宋体"/>
          <w:szCs w:val="21"/>
        </w:rPr>
        <w:t>万元</w:t>
      </w:r>
    </w:p>
    <w:p>
      <w:pPr>
        <w:snapToGrid w:val="0"/>
        <w:spacing w:line="360" w:lineRule="auto"/>
        <w:ind w:firstLine="411" w:firstLineChars="196"/>
        <w:rPr>
          <w:rFonts w:ascii="宋体" w:hAnsi="宋体"/>
          <w:szCs w:val="21"/>
        </w:rPr>
      </w:pPr>
      <w:r>
        <w:rPr>
          <w:rFonts w:ascii="宋体" w:hAnsi="宋体"/>
          <w:szCs w:val="21"/>
        </w:rPr>
        <w:t>（500-100）万元×</w:t>
      </w:r>
      <w:r>
        <w:rPr>
          <w:rFonts w:hint="eastAsia" w:ascii="宋体" w:hAnsi="宋体"/>
          <w:szCs w:val="21"/>
        </w:rPr>
        <w:t>0.8</w:t>
      </w:r>
      <w:r>
        <w:rPr>
          <w:rFonts w:ascii="宋体" w:hAnsi="宋体"/>
          <w:szCs w:val="21"/>
        </w:rPr>
        <w:t>%=</w:t>
      </w:r>
      <w:r>
        <w:rPr>
          <w:rFonts w:hint="eastAsia" w:ascii="宋体" w:hAnsi="宋体"/>
          <w:szCs w:val="21"/>
        </w:rPr>
        <w:t>3.2</w:t>
      </w:r>
      <w:r>
        <w:rPr>
          <w:rFonts w:ascii="宋体" w:hAnsi="宋体"/>
          <w:szCs w:val="21"/>
        </w:rPr>
        <w:t>万元</w:t>
      </w:r>
    </w:p>
    <w:p>
      <w:pPr>
        <w:snapToGrid w:val="0"/>
        <w:spacing w:line="360" w:lineRule="auto"/>
        <w:ind w:firstLine="411" w:firstLineChars="196"/>
        <w:rPr>
          <w:rFonts w:ascii="宋体" w:hAnsi="宋体"/>
          <w:szCs w:val="21"/>
        </w:rPr>
      </w:pPr>
      <w:r>
        <w:rPr>
          <w:rFonts w:ascii="宋体" w:hAnsi="宋体"/>
          <w:szCs w:val="21"/>
        </w:rPr>
        <w:t>（</w:t>
      </w:r>
      <w:r>
        <w:rPr>
          <w:rFonts w:hint="eastAsia" w:ascii="宋体" w:hAnsi="宋体"/>
          <w:szCs w:val="21"/>
        </w:rPr>
        <w:t>6</w:t>
      </w:r>
      <w:r>
        <w:rPr>
          <w:rFonts w:ascii="宋体" w:hAnsi="宋体"/>
          <w:szCs w:val="21"/>
        </w:rPr>
        <w:t>00-</w:t>
      </w:r>
      <w:r>
        <w:rPr>
          <w:rFonts w:hint="eastAsia" w:ascii="宋体" w:hAnsi="宋体"/>
          <w:szCs w:val="21"/>
        </w:rPr>
        <w:t>5</w:t>
      </w:r>
      <w:r>
        <w:rPr>
          <w:rFonts w:ascii="宋体" w:hAnsi="宋体"/>
          <w:szCs w:val="21"/>
        </w:rPr>
        <w:t>00）万元×</w:t>
      </w:r>
      <w:r>
        <w:rPr>
          <w:rFonts w:hint="eastAsia" w:ascii="宋体" w:hAnsi="宋体"/>
          <w:szCs w:val="21"/>
        </w:rPr>
        <w:t>0.45</w:t>
      </w:r>
      <w:r>
        <w:rPr>
          <w:rFonts w:ascii="宋体" w:hAnsi="宋体"/>
          <w:szCs w:val="21"/>
        </w:rPr>
        <w:t>%=</w:t>
      </w:r>
      <w:r>
        <w:rPr>
          <w:rFonts w:hint="eastAsia" w:ascii="宋体" w:hAnsi="宋体"/>
          <w:szCs w:val="21"/>
        </w:rPr>
        <w:t>0.45</w:t>
      </w:r>
      <w:r>
        <w:rPr>
          <w:rFonts w:ascii="宋体" w:hAnsi="宋体"/>
          <w:szCs w:val="21"/>
        </w:rPr>
        <w:t>万元</w:t>
      </w:r>
    </w:p>
    <w:p>
      <w:pPr>
        <w:snapToGrid w:val="0"/>
        <w:spacing w:line="360" w:lineRule="auto"/>
        <w:ind w:firstLine="411" w:firstLineChars="196"/>
        <w:rPr>
          <w:rFonts w:ascii="宋体" w:hAnsi="宋体"/>
          <w:szCs w:val="21"/>
        </w:rPr>
      </w:pPr>
      <w:r>
        <w:rPr>
          <w:rFonts w:ascii="宋体" w:hAnsi="宋体"/>
          <w:szCs w:val="21"/>
        </w:rPr>
        <w:t>合计收费=1</w:t>
      </w:r>
      <w:r>
        <w:rPr>
          <w:rFonts w:hint="eastAsia" w:ascii="宋体" w:hAnsi="宋体"/>
          <w:szCs w:val="21"/>
        </w:rPr>
        <w:t>.5</w:t>
      </w:r>
      <w:r>
        <w:rPr>
          <w:rFonts w:ascii="宋体" w:hAnsi="宋体"/>
          <w:szCs w:val="21"/>
        </w:rPr>
        <w:t>+</w:t>
      </w:r>
      <w:r>
        <w:rPr>
          <w:rFonts w:hint="eastAsia" w:ascii="宋体" w:hAnsi="宋体"/>
          <w:szCs w:val="21"/>
        </w:rPr>
        <w:t>3.2</w:t>
      </w:r>
      <w:r>
        <w:rPr>
          <w:rFonts w:ascii="宋体" w:hAnsi="宋体"/>
          <w:szCs w:val="21"/>
        </w:rPr>
        <w:t>+</w:t>
      </w:r>
      <w:r>
        <w:rPr>
          <w:rFonts w:hint="eastAsia" w:ascii="宋体" w:hAnsi="宋体"/>
          <w:szCs w:val="21"/>
        </w:rPr>
        <w:t>0.45</w:t>
      </w:r>
      <w:r>
        <w:rPr>
          <w:rFonts w:ascii="宋体" w:hAnsi="宋体"/>
          <w:szCs w:val="21"/>
        </w:rPr>
        <w:t>=5.15万元</w:t>
      </w:r>
    </w:p>
    <w:p>
      <w:pPr>
        <w:snapToGrid w:val="0"/>
        <w:spacing w:line="360" w:lineRule="auto"/>
        <w:ind w:firstLine="411" w:firstLineChars="196"/>
        <w:rPr>
          <w:rFonts w:ascii="宋体" w:hAnsi="宋体"/>
          <w:szCs w:val="21"/>
        </w:rPr>
      </w:pPr>
      <w:r>
        <w:rPr>
          <w:rFonts w:hint="eastAsia" w:ascii="宋体" w:hAnsi="宋体"/>
          <w:szCs w:val="21"/>
        </w:rPr>
        <w:t>40.2 中标人须在中标公告公示期结束后，领取《中标通知书》前，向招标（采购）代理机构缴纳招标代理服务费。</w:t>
      </w:r>
    </w:p>
    <w:p>
      <w:pPr>
        <w:spacing w:line="360" w:lineRule="auto"/>
        <w:ind w:left="420" w:leftChars="200"/>
        <w:rPr>
          <w:rFonts w:ascii="宋体" w:hAnsi="宋体"/>
          <w:szCs w:val="21"/>
        </w:rPr>
      </w:pPr>
      <w:r>
        <w:rPr>
          <w:rFonts w:hint="eastAsia" w:ascii="宋体" w:hAnsi="宋体"/>
          <w:szCs w:val="21"/>
        </w:rPr>
        <w:t>40.3 招标代理服务费以转账、现金形式支付。</w:t>
      </w:r>
    </w:p>
    <w:p>
      <w:pPr>
        <w:spacing w:line="360" w:lineRule="auto"/>
        <w:rPr>
          <w:rFonts w:ascii="黑体" w:hAnsi="宋体" w:eastAsia="黑体"/>
          <w:sz w:val="24"/>
        </w:rPr>
      </w:pPr>
      <w:r>
        <w:rPr>
          <w:rFonts w:hint="eastAsia" w:ascii="黑体" w:hAnsi="宋体" w:eastAsia="黑体"/>
          <w:sz w:val="24"/>
        </w:rPr>
        <w:t>41．项目质疑受理程序</w:t>
      </w:r>
    </w:p>
    <w:p>
      <w:pPr>
        <w:snapToGrid w:val="0"/>
        <w:spacing w:line="360" w:lineRule="auto"/>
        <w:ind w:firstLine="411" w:firstLineChars="196"/>
        <w:rPr>
          <w:rFonts w:ascii="宋体" w:hAnsi="宋体"/>
          <w:szCs w:val="21"/>
        </w:rPr>
      </w:pPr>
      <w:r>
        <w:rPr>
          <w:rFonts w:hint="eastAsia" w:ascii="宋体" w:hAnsi="宋体"/>
          <w:szCs w:val="21"/>
        </w:rPr>
        <w:t>41.1质疑投诉人应保证质疑投诉内容的真实性和可靠性，并承担相应的法律责任。</w:t>
      </w:r>
    </w:p>
    <w:p>
      <w:pPr>
        <w:snapToGrid w:val="0"/>
        <w:spacing w:line="360" w:lineRule="auto"/>
        <w:ind w:firstLine="411" w:firstLineChars="196"/>
        <w:rPr>
          <w:rFonts w:ascii="宋体" w:hAnsi="宋体"/>
          <w:szCs w:val="21"/>
        </w:rPr>
      </w:pPr>
      <w:r>
        <w:rPr>
          <w:rFonts w:hint="eastAsia" w:ascii="宋体" w:hAnsi="宋体"/>
          <w:szCs w:val="21"/>
        </w:rPr>
        <w:t>41.2项目质疑受理程序：</w:t>
      </w:r>
    </w:p>
    <w:p>
      <w:pPr>
        <w:snapToGrid w:val="0"/>
        <w:spacing w:line="360" w:lineRule="auto"/>
        <w:ind w:firstLine="411" w:firstLineChars="196"/>
        <w:rPr>
          <w:rFonts w:ascii="宋体" w:hAnsi="宋体"/>
          <w:szCs w:val="21"/>
        </w:rPr>
      </w:pPr>
      <w:r>
        <w:rPr>
          <w:rFonts w:hint="eastAsia" w:ascii="宋体" w:hAnsi="宋体"/>
          <w:szCs w:val="21"/>
        </w:rPr>
        <w:t>41.2.1政府采购代理机构统一对外受理项目质疑资料。受理程序需要审核的资料：供应商提供书面的质疑函件（原件且加盖公司公章）以及相关质疑内容的证明材料、法定代表人证明书、授权委托书、经办人身份证原件及复印件（加盖公章）。</w:t>
      </w:r>
    </w:p>
    <w:p>
      <w:pPr>
        <w:spacing w:line="360" w:lineRule="auto"/>
        <w:ind w:firstLine="411" w:firstLineChars="196"/>
        <w:rPr>
          <w:rFonts w:ascii="宋体" w:hAnsi="宋体"/>
          <w:szCs w:val="21"/>
        </w:rPr>
      </w:pPr>
      <w:r>
        <w:rPr>
          <w:rFonts w:hint="eastAsia" w:ascii="宋体" w:hAnsi="宋体"/>
          <w:szCs w:val="21"/>
        </w:rPr>
        <w:t>41.2.2异地供应商质疑可传真函件至窗口进行预受理，但供应商必须在发出传真函件后3个工作日内将资料原件【供应商提供书面的质疑函件（原件且加盖公司公章）以及相关质疑内容的证明材料、法定代表人证明书、授权委托书、经办人身份证原件及复印件（加盖公章）】提交至或邮政快递至政府采购代理机构，再给予正式受理。</w:t>
      </w:r>
    </w:p>
    <w:p>
      <w:pPr>
        <w:spacing w:line="360" w:lineRule="auto"/>
        <w:ind w:firstLine="411" w:firstLineChars="196"/>
        <w:jc w:val="center"/>
        <w:rPr>
          <w:rFonts w:ascii="宋体" w:hAnsi="宋体"/>
          <w:szCs w:val="21"/>
        </w:rPr>
      </w:pPr>
      <w:r>
        <w:t>---- END ----</w:t>
      </w:r>
    </w:p>
    <w:p/>
    <w:p/>
    <w:p>
      <w:pPr>
        <w:rPr>
          <w:rFonts w:eastAsia="黑体"/>
          <w:b/>
          <w:sz w:val="44"/>
        </w:rPr>
      </w:pPr>
    </w:p>
    <w:p/>
    <w:p/>
    <w:p/>
    <w:p/>
    <w:p>
      <w:pPr>
        <w:pStyle w:val="2"/>
      </w:pPr>
    </w:p>
    <w:p/>
    <w:p>
      <w:pPr>
        <w:pStyle w:val="20"/>
      </w:pPr>
    </w:p>
    <w:p/>
    <w:p>
      <w:pPr>
        <w:pStyle w:val="20"/>
      </w:pPr>
    </w:p>
    <w:p/>
    <w:p>
      <w:pPr>
        <w:pStyle w:val="20"/>
      </w:pPr>
    </w:p>
    <w:p/>
    <w:p/>
    <w:p/>
    <w:p>
      <w:pPr>
        <w:pStyle w:val="40"/>
        <w:spacing w:before="120" w:after="120"/>
        <w:rPr>
          <w:b w:val="0"/>
        </w:rPr>
      </w:pPr>
      <w:bookmarkStart w:id="237" w:name="_Toc5879"/>
      <w:r>
        <w:rPr>
          <w:rFonts w:hint="eastAsia" w:eastAsia="黑体"/>
          <w:b w:val="0"/>
          <w:sz w:val="44"/>
        </w:rPr>
        <w:t>第二册专用条款</w:t>
      </w:r>
      <w:bookmarkEnd w:id="237"/>
    </w:p>
    <w:p>
      <w:r>
        <w:br w:type="page"/>
      </w:r>
    </w:p>
    <w:p>
      <w:pPr>
        <w:pStyle w:val="5"/>
        <w:jc w:val="center"/>
      </w:pPr>
      <w:bookmarkStart w:id="238" w:name="_Toc4800"/>
      <w:bookmarkStart w:id="239" w:name="_Toc26199"/>
      <w:bookmarkStart w:id="240" w:name="_Toc34238554"/>
      <w:r>
        <w:rPr>
          <w:rFonts w:hint="eastAsia"/>
        </w:rPr>
        <w:t>第一章招标公告</w:t>
      </w:r>
      <w:bookmarkEnd w:id="238"/>
      <w:bookmarkEnd w:id="239"/>
      <w:bookmarkEnd w:id="240"/>
    </w:p>
    <w:tbl>
      <w:tblPr>
        <w:tblStyle w:val="4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360" w:lineRule="auto"/>
              <w:rPr>
                <w:rFonts w:ascii="宋体" w:hAnsi="宋体"/>
                <w:szCs w:val="21"/>
              </w:rPr>
            </w:pPr>
            <w:r>
              <w:rPr>
                <w:rFonts w:hint="eastAsia" w:ascii="宋体" w:hAnsi="宋体"/>
                <w:szCs w:val="21"/>
              </w:rPr>
              <w:t>项目概况</w:t>
            </w:r>
          </w:p>
          <w:p>
            <w:pPr>
              <w:spacing w:line="360" w:lineRule="auto"/>
              <w:ind w:firstLine="420" w:firstLineChars="200"/>
              <w:rPr>
                <w:rFonts w:ascii="宋体" w:hAnsi="宋体"/>
                <w:szCs w:val="21"/>
              </w:rPr>
            </w:pPr>
            <w:r>
              <w:rPr>
                <w:rFonts w:hint="eastAsia" w:ascii="宋体" w:hAnsi="宋体"/>
                <w:szCs w:val="21"/>
                <w:u w:val="single"/>
              </w:rPr>
              <w:t>深圳市医疗保障局宝安分局保安服务项目</w:t>
            </w:r>
            <w:r>
              <w:rPr>
                <w:rFonts w:hint="eastAsia" w:ascii="宋体" w:hAnsi="宋体"/>
                <w:szCs w:val="21"/>
              </w:rPr>
              <w:t>招标项目的潜在投标人应在</w:t>
            </w:r>
            <w:r>
              <w:rPr>
                <w:rFonts w:hint="eastAsia" w:ascii="宋体" w:hAnsi="宋体"/>
                <w:szCs w:val="21"/>
                <w:u w:val="single"/>
              </w:rPr>
              <w:t>友和保险经纪有限公司</w:t>
            </w:r>
            <w:r>
              <w:rPr>
                <w:rFonts w:hint="eastAsia" w:ascii="宋体" w:hAnsi="宋体"/>
                <w:szCs w:val="21"/>
              </w:rPr>
              <w:t>获取招标文件，并于2022年</w:t>
            </w:r>
            <w:r>
              <w:rPr>
                <w:rFonts w:ascii="宋体" w:hAnsi="宋体"/>
                <w:szCs w:val="21"/>
              </w:rPr>
              <w:t>03</w:t>
            </w:r>
            <w:r>
              <w:rPr>
                <w:rFonts w:hint="eastAsia" w:ascii="宋体" w:hAnsi="宋体"/>
                <w:szCs w:val="21"/>
              </w:rPr>
              <w:t>月</w:t>
            </w:r>
            <w:r>
              <w:rPr>
                <w:rFonts w:ascii="宋体" w:hAnsi="宋体"/>
                <w:szCs w:val="21"/>
              </w:rPr>
              <w:t>14</w:t>
            </w:r>
            <w:r>
              <w:rPr>
                <w:rFonts w:hint="eastAsia" w:ascii="宋体" w:hAnsi="宋体"/>
                <w:szCs w:val="21"/>
              </w:rPr>
              <w:t>日</w:t>
            </w:r>
            <w:r>
              <w:rPr>
                <w:rFonts w:ascii="宋体" w:hAnsi="宋体"/>
                <w:szCs w:val="21"/>
              </w:rPr>
              <w:t>14</w:t>
            </w:r>
            <w:r>
              <w:rPr>
                <w:rFonts w:hint="eastAsia" w:ascii="宋体" w:hAnsi="宋体"/>
                <w:szCs w:val="21"/>
              </w:rPr>
              <w:t>点</w:t>
            </w:r>
            <w:r>
              <w:rPr>
                <w:rFonts w:ascii="宋体" w:hAnsi="宋体"/>
                <w:szCs w:val="21"/>
              </w:rPr>
              <w:t>30</w:t>
            </w:r>
            <w:r>
              <w:rPr>
                <w:rFonts w:hint="eastAsia" w:ascii="宋体" w:hAnsi="宋体"/>
                <w:szCs w:val="21"/>
              </w:rPr>
              <w:t>分</w:t>
            </w:r>
            <w:r>
              <w:rPr>
                <w:rFonts w:ascii="宋体" w:hAnsi="宋体"/>
                <w:szCs w:val="21"/>
              </w:rPr>
              <w:t>00</w:t>
            </w:r>
            <w:r>
              <w:rPr>
                <w:rFonts w:hint="eastAsia" w:ascii="宋体" w:hAnsi="宋体"/>
                <w:szCs w:val="21"/>
              </w:rPr>
              <w:t>秒（北京时间） 前递交投标文件。</w:t>
            </w:r>
          </w:p>
        </w:tc>
      </w:tr>
    </w:tbl>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b/>
          <w:szCs w:val="21"/>
        </w:rPr>
      </w:pPr>
      <w:r>
        <w:rPr>
          <w:rFonts w:hint="eastAsia" w:ascii="宋体" w:hAnsi="宋体"/>
          <w:b/>
          <w:szCs w:val="21"/>
        </w:rPr>
        <w:t>一、 项目基本情况</w:t>
      </w:r>
    </w:p>
    <w:p>
      <w:pPr>
        <w:adjustRightInd w:val="0"/>
        <w:snapToGrid w:val="0"/>
        <w:spacing w:line="360" w:lineRule="auto"/>
        <w:ind w:firstLine="420" w:firstLineChars="200"/>
        <w:jc w:val="left"/>
        <w:rPr>
          <w:rFonts w:ascii="宋体" w:hAnsi="宋体"/>
          <w:szCs w:val="21"/>
        </w:rPr>
      </w:pPr>
      <w:r>
        <w:rPr>
          <w:rFonts w:hint="eastAsia" w:ascii="宋体" w:hAnsi="宋体"/>
          <w:szCs w:val="21"/>
        </w:rPr>
        <w:t>项目编号：</w:t>
      </w:r>
      <w:r>
        <w:rPr>
          <w:rFonts w:ascii="宋体" w:hAnsi="宋体"/>
          <w:szCs w:val="21"/>
          <w:u w:val="single"/>
        </w:rPr>
        <w:t>UHOBAC20220062</w:t>
      </w:r>
    </w:p>
    <w:p>
      <w:pPr>
        <w:adjustRightInd w:val="0"/>
        <w:snapToGrid w:val="0"/>
        <w:spacing w:line="360" w:lineRule="auto"/>
        <w:ind w:firstLine="420" w:firstLineChars="200"/>
        <w:jc w:val="left"/>
        <w:rPr>
          <w:rFonts w:ascii="宋体" w:hAnsi="宋体"/>
          <w:szCs w:val="21"/>
        </w:rPr>
      </w:pPr>
      <w:r>
        <w:rPr>
          <w:rFonts w:hint="eastAsia" w:ascii="宋体" w:hAnsi="宋体"/>
          <w:szCs w:val="21"/>
        </w:rPr>
        <w:t>项目名称：</w:t>
      </w:r>
      <w:r>
        <w:rPr>
          <w:rFonts w:hint="eastAsia" w:ascii="宋体" w:hAnsi="宋体"/>
          <w:szCs w:val="21"/>
          <w:u w:val="single"/>
        </w:rPr>
        <w:t>深圳市医疗保障局宝安分局保安服务项目</w:t>
      </w:r>
    </w:p>
    <w:p>
      <w:pPr>
        <w:adjustRightInd w:val="0"/>
        <w:snapToGrid w:val="0"/>
        <w:spacing w:line="360" w:lineRule="auto"/>
        <w:ind w:firstLine="420" w:firstLineChars="200"/>
        <w:jc w:val="left"/>
        <w:rPr>
          <w:rFonts w:ascii="宋体" w:hAnsi="宋体"/>
          <w:szCs w:val="21"/>
        </w:rPr>
      </w:pPr>
      <w:r>
        <w:rPr>
          <w:rFonts w:hint="eastAsia" w:ascii="宋体" w:hAnsi="宋体"/>
          <w:szCs w:val="21"/>
        </w:rPr>
        <w:t>预算金额：</w:t>
      </w:r>
      <w:r>
        <w:rPr>
          <w:rFonts w:hint="eastAsia" w:ascii="宋体" w:hAnsi="宋体"/>
          <w:szCs w:val="21"/>
          <w:u w:val="single"/>
        </w:rPr>
        <w:t>¥240,000.00</w:t>
      </w:r>
    </w:p>
    <w:p>
      <w:pPr>
        <w:adjustRightInd w:val="0"/>
        <w:snapToGrid w:val="0"/>
        <w:spacing w:line="360" w:lineRule="auto"/>
        <w:ind w:firstLine="420" w:firstLineChars="200"/>
        <w:jc w:val="left"/>
        <w:rPr>
          <w:rFonts w:ascii="宋体" w:hAnsi="宋体"/>
          <w:szCs w:val="21"/>
        </w:rPr>
      </w:pPr>
      <w:r>
        <w:rPr>
          <w:rFonts w:hint="eastAsia" w:ascii="宋体" w:hAnsi="宋体"/>
          <w:szCs w:val="21"/>
        </w:rPr>
        <w:t>最高限价：</w:t>
      </w:r>
      <w:r>
        <w:rPr>
          <w:rFonts w:hint="eastAsia" w:ascii="宋体" w:hAnsi="宋体"/>
          <w:szCs w:val="21"/>
          <w:u w:val="single"/>
        </w:rPr>
        <w:t>¥240,000.00</w:t>
      </w:r>
    </w:p>
    <w:p>
      <w:pPr>
        <w:adjustRightInd w:val="0"/>
        <w:snapToGrid w:val="0"/>
        <w:spacing w:line="360" w:lineRule="auto"/>
        <w:ind w:firstLine="420" w:firstLineChars="200"/>
        <w:jc w:val="left"/>
        <w:rPr>
          <w:rFonts w:ascii="宋体" w:hAnsi="宋体"/>
          <w:szCs w:val="21"/>
        </w:rPr>
      </w:pPr>
      <w:r>
        <w:rPr>
          <w:rFonts w:hint="eastAsia" w:ascii="宋体" w:hAnsi="宋体"/>
          <w:szCs w:val="21"/>
        </w:rPr>
        <w:t>采购需求：</w:t>
      </w:r>
      <w:r>
        <w:rPr>
          <w:rFonts w:hint="eastAsia" w:ascii="宋体" w:hAnsi="宋体"/>
          <w:szCs w:val="21"/>
          <w:u w:val="single"/>
        </w:rPr>
        <w:t xml:space="preserve">详见招标文件 </w:t>
      </w:r>
    </w:p>
    <w:p>
      <w:pPr>
        <w:adjustRightInd w:val="0"/>
        <w:snapToGrid w:val="0"/>
        <w:spacing w:line="360" w:lineRule="auto"/>
        <w:ind w:firstLine="420" w:firstLineChars="200"/>
        <w:jc w:val="left"/>
        <w:rPr>
          <w:rFonts w:ascii="宋体" w:hAnsi="宋体"/>
          <w:szCs w:val="21"/>
        </w:rPr>
      </w:pPr>
      <w:r>
        <w:rPr>
          <w:rFonts w:hint="eastAsia" w:ascii="宋体" w:hAnsi="宋体"/>
          <w:szCs w:val="21"/>
        </w:rPr>
        <w:t>合同履行期限：</w:t>
      </w:r>
      <w:r>
        <w:rPr>
          <w:rFonts w:hint="eastAsia" w:ascii="宋体" w:hAnsi="宋体"/>
          <w:szCs w:val="21"/>
          <w:u w:val="single"/>
        </w:rPr>
        <w:t>详见招标文件</w:t>
      </w:r>
    </w:p>
    <w:p>
      <w:pPr>
        <w:adjustRightInd w:val="0"/>
        <w:snapToGrid w:val="0"/>
        <w:spacing w:line="360" w:lineRule="auto"/>
        <w:ind w:firstLine="420" w:firstLineChars="200"/>
        <w:jc w:val="left"/>
        <w:rPr>
          <w:rFonts w:ascii="宋体" w:hAnsi="宋体"/>
          <w:szCs w:val="21"/>
        </w:rPr>
      </w:pPr>
      <w:r>
        <w:rPr>
          <w:rFonts w:hint="eastAsia" w:ascii="宋体" w:hAnsi="宋体"/>
          <w:szCs w:val="21"/>
        </w:rPr>
        <w:t>本项目</w:t>
      </w:r>
      <w:r>
        <w:rPr>
          <w:rFonts w:hint="eastAsia"/>
        </w:rPr>
        <w:t>不接受</w:t>
      </w:r>
      <w:r>
        <w:rPr>
          <w:rFonts w:hint="eastAsia" w:ascii="宋体" w:hAnsi="宋体"/>
          <w:szCs w:val="21"/>
        </w:rPr>
        <w:t>联合体投标。</w:t>
      </w:r>
    </w:p>
    <w:p>
      <w:pPr>
        <w:adjustRightInd w:val="0"/>
        <w:snapToGrid w:val="0"/>
        <w:spacing w:line="360" w:lineRule="auto"/>
        <w:jc w:val="left"/>
        <w:rPr>
          <w:rFonts w:ascii="宋体" w:hAnsi="宋体"/>
          <w:b/>
          <w:szCs w:val="21"/>
        </w:rPr>
      </w:pPr>
      <w:r>
        <w:rPr>
          <w:rFonts w:hint="eastAsia" w:ascii="宋体" w:hAnsi="宋体"/>
          <w:b/>
          <w:szCs w:val="21"/>
        </w:rPr>
        <w:t>二、 申请人的资格要求：</w:t>
      </w:r>
    </w:p>
    <w:p>
      <w:pPr>
        <w:pStyle w:val="290"/>
        <w:adjustRightInd w:val="0"/>
        <w:snapToGrid w:val="0"/>
        <w:spacing w:line="360" w:lineRule="auto"/>
        <w:ind w:left="420" w:firstLine="0" w:firstLineChars="0"/>
        <w:jc w:val="left"/>
        <w:rPr>
          <w:rFonts w:ascii="宋体" w:hAnsi="宋体"/>
          <w:szCs w:val="21"/>
        </w:rPr>
      </w:pPr>
      <w:r>
        <w:rPr>
          <w:rFonts w:hint="eastAsia" w:ascii="宋体" w:hAnsi="宋体"/>
          <w:szCs w:val="21"/>
        </w:rPr>
        <w:t xml:space="preserve">1、投标人必须具有深圳市政府采购注册供应商资格（在深圳市政府采购供应商库中显示有效，供应商注册网址：http://www.szggzy.com/）； </w:t>
      </w:r>
    </w:p>
    <w:p>
      <w:pPr>
        <w:pStyle w:val="290"/>
        <w:adjustRightInd w:val="0"/>
        <w:snapToGrid w:val="0"/>
        <w:spacing w:line="360" w:lineRule="auto"/>
        <w:ind w:left="420" w:firstLine="0" w:firstLineChars="0"/>
        <w:jc w:val="left"/>
        <w:rPr>
          <w:rFonts w:ascii="宋体" w:hAnsi="宋体"/>
          <w:szCs w:val="21"/>
        </w:rPr>
      </w:pPr>
      <w:r>
        <w:rPr>
          <w:rFonts w:hint="eastAsia" w:ascii="宋体" w:hAnsi="宋体"/>
          <w:szCs w:val="21"/>
        </w:rPr>
        <w:t>2、投标人具有独立法人资格或为具有独立承担民事责任能力的其它组织（提供营业执照或事业单位法人证书等法人证明或其他证明材料复印件加盖投标人公章，原件备查）；</w:t>
      </w:r>
    </w:p>
    <w:p>
      <w:pPr>
        <w:pStyle w:val="290"/>
        <w:adjustRightInd w:val="0"/>
        <w:snapToGrid w:val="0"/>
        <w:spacing w:line="360" w:lineRule="auto"/>
        <w:ind w:left="420" w:firstLine="0" w:firstLineChars="0"/>
        <w:jc w:val="left"/>
        <w:rPr>
          <w:rFonts w:ascii="宋体" w:hAnsi="宋体"/>
          <w:szCs w:val="21"/>
        </w:rPr>
      </w:pPr>
      <w:r>
        <w:rPr>
          <w:rFonts w:hint="eastAsia" w:ascii="宋体" w:hAnsi="宋体"/>
          <w:szCs w:val="21"/>
        </w:rPr>
        <w:t>3、投标人具有</w:t>
      </w:r>
      <w:r>
        <w:rPr>
          <w:rFonts w:ascii="宋体" w:hAnsi="宋体"/>
          <w:snapToGrid w:val="0"/>
          <w:szCs w:val="21"/>
        </w:rPr>
        <w:t>公安机关核发的保安服务许可证或保安从业单位备案书</w:t>
      </w:r>
      <w:r>
        <w:rPr>
          <w:rFonts w:hint="eastAsia" w:ascii="宋体" w:hAnsi="宋体"/>
          <w:snapToGrid w:val="0"/>
          <w:szCs w:val="21"/>
        </w:rPr>
        <w:t>。</w:t>
      </w:r>
      <w:r>
        <w:rPr>
          <w:rFonts w:ascii="宋体" w:hAnsi="宋体"/>
          <w:snapToGrid w:val="0"/>
          <w:szCs w:val="21"/>
        </w:rPr>
        <w:t>（提供证明材料</w:t>
      </w:r>
      <w:r>
        <w:rPr>
          <w:rFonts w:hint="eastAsia" w:ascii="宋体" w:hAnsi="宋体"/>
          <w:snapToGrid w:val="0"/>
          <w:szCs w:val="21"/>
        </w:rPr>
        <w:t>复印件并加盖投标人公章</w:t>
      </w:r>
      <w:r>
        <w:rPr>
          <w:rFonts w:ascii="宋体" w:hAnsi="宋体"/>
          <w:snapToGrid w:val="0"/>
          <w:szCs w:val="21"/>
        </w:rPr>
        <w:t>，原件备查）；</w:t>
      </w:r>
    </w:p>
    <w:p>
      <w:pPr>
        <w:pStyle w:val="290"/>
        <w:adjustRightInd w:val="0"/>
        <w:snapToGrid w:val="0"/>
        <w:spacing w:line="360" w:lineRule="auto"/>
        <w:ind w:left="420" w:firstLine="0" w:firstLineChars="0"/>
        <w:jc w:val="left"/>
        <w:rPr>
          <w:rFonts w:ascii="宋体" w:hAnsi="宋体"/>
          <w:szCs w:val="21"/>
        </w:rPr>
      </w:pPr>
      <w:r>
        <w:rPr>
          <w:rFonts w:hint="eastAsia" w:ascii="宋体" w:hAnsi="宋体"/>
          <w:szCs w:val="21"/>
        </w:rPr>
        <w:t>4、投标人近三年内（即从2019年01月开始起算，供应商成立不足三年的可从成立之日起算）无行贿犯罪记录，由招标代理机构工作人员查询。查询渠道为中国裁判文书网(</w:t>
      </w:r>
      <w:r>
        <w:fldChar w:fldCharType="begin"/>
      </w:r>
      <w:r>
        <w:instrText xml:space="preserve"> HYPERLINK "http://wenshu.court.gov.cn/" </w:instrText>
      </w:r>
      <w:r>
        <w:fldChar w:fldCharType="separate"/>
      </w:r>
      <w:r>
        <w:rPr>
          <w:rFonts w:hint="eastAsia" w:ascii="宋体" w:hAnsi="宋体"/>
          <w:szCs w:val="21"/>
        </w:rPr>
        <w:t>http://wenshu.court.gov.cn/</w:t>
      </w:r>
      <w:r>
        <w:rPr>
          <w:rFonts w:hint="eastAsia" w:ascii="宋体" w:hAnsi="宋体"/>
          <w:szCs w:val="21"/>
        </w:rPr>
        <w:fldChar w:fldCharType="end"/>
      </w:r>
      <w:r>
        <w:rPr>
          <w:rFonts w:hint="eastAsia" w:ascii="宋体" w:hAnsi="宋体"/>
          <w:szCs w:val="21"/>
        </w:rPr>
        <w:t>)；</w:t>
      </w:r>
    </w:p>
    <w:p>
      <w:pPr>
        <w:pStyle w:val="290"/>
        <w:adjustRightInd w:val="0"/>
        <w:snapToGrid w:val="0"/>
        <w:spacing w:line="360" w:lineRule="auto"/>
        <w:ind w:left="420" w:firstLine="0" w:firstLineChars="0"/>
        <w:jc w:val="left"/>
        <w:rPr>
          <w:rFonts w:ascii="宋体" w:hAnsi="宋体"/>
          <w:szCs w:val="21"/>
        </w:rPr>
      </w:pPr>
      <w:r>
        <w:rPr>
          <w:rFonts w:hint="eastAsia" w:ascii="宋体" w:hAnsi="宋体"/>
          <w:szCs w:val="21"/>
        </w:rPr>
        <w:t>5、未被列入失信被执行人、重大税收违法案件当事人名单、政府采购严重违法失信行为记录名单（由供应商在《政府采购投标及履约承诺函》中作出声明，原件加盖投标人公章）；【注：采购代理机构将通过“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pStyle w:val="290"/>
        <w:adjustRightInd w:val="0"/>
        <w:snapToGrid w:val="0"/>
        <w:spacing w:line="360" w:lineRule="auto"/>
        <w:ind w:left="420" w:firstLine="0" w:firstLineChars="0"/>
        <w:jc w:val="left"/>
        <w:rPr>
          <w:rFonts w:ascii="宋体" w:hAnsi="宋体"/>
          <w:szCs w:val="21"/>
        </w:rPr>
      </w:pPr>
      <w:r>
        <w:rPr>
          <w:rFonts w:hint="eastAsia" w:ascii="宋体" w:hAnsi="宋体"/>
          <w:szCs w:val="21"/>
        </w:rPr>
        <w:t>6、单位法定代表人（负责人）为同一人或者存在直接控股、管理关系的不同供应商，不得参加本项目投标；为本项目提供整体设计、规范编制或者项目管理、监理、检测等服务的供应商，不得参加本项目投标。（由供应商在《政府采购投标及履约承诺函》中作出声明，原件加盖投标人公章）；</w:t>
      </w:r>
    </w:p>
    <w:p>
      <w:pPr>
        <w:pStyle w:val="290"/>
        <w:adjustRightInd w:val="0"/>
        <w:snapToGrid w:val="0"/>
        <w:spacing w:line="360" w:lineRule="auto"/>
        <w:ind w:left="420" w:firstLine="0" w:firstLineChars="0"/>
        <w:jc w:val="left"/>
        <w:rPr>
          <w:rFonts w:ascii="宋体" w:hAnsi="宋体"/>
          <w:szCs w:val="21"/>
        </w:rPr>
      </w:pPr>
      <w:r>
        <w:rPr>
          <w:rFonts w:hint="eastAsia" w:ascii="宋体" w:hAnsi="宋体"/>
          <w:szCs w:val="21"/>
        </w:rPr>
        <w:t>7、本项目不接受联合体投标，不允许转包分包。</w:t>
      </w:r>
    </w:p>
    <w:p>
      <w:pPr>
        <w:adjustRightInd w:val="0"/>
        <w:snapToGrid w:val="0"/>
        <w:spacing w:line="360" w:lineRule="auto"/>
        <w:jc w:val="left"/>
        <w:rPr>
          <w:rFonts w:ascii="宋体" w:hAnsi="宋体"/>
          <w:b/>
          <w:szCs w:val="21"/>
        </w:rPr>
      </w:pPr>
      <w:r>
        <w:rPr>
          <w:rFonts w:hint="eastAsia" w:ascii="宋体" w:hAnsi="宋体"/>
          <w:b/>
          <w:szCs w:val="21"/>
        </w:rPr>
        <w:t>三、 获取招标文件</w:t>
      </w:r>
    </w:p>
    <w:p>
      <w:pPr>
        <w:adjustRightInd w:val="0"/>
        <w:snapToGrid w:val="0"/>
        <w:spacing w:line="360" w:lineRule="auto"/>
        <w:ind w:left="420"/>
        <w:jc w:val="left"/>
        <w:rPr>
          <w:rFonts w:asciiTheme="minorEastAsia" w:hAnsiTheme="minorEastAsia" w:eastAsiaTheme="minorEastAsia"/>
          <w:szCs w:val="21"/>
        </w:rPr>
      </w:pPr>
      <w:r>
        <w:rPr>
          <w:rFonts w:hint="eastAsia" w:asciiTheme="minorEastAsia" w:hAnsiTheme="minorEastAsia" w:eastAsiaTheme="minorEastAsia"/>
          <w:szCs w:val="21"/>
        </w:rPr>
        <w:t>1.时间：2022年</w:t>
      </w:r>
      <w:r>
        <w:rPr>
          <w:rFonts w:asciiTheme="minorEastAsia" w:hAnsiTheme="minorEastAsia" w:eastAsiaTheme="minorEastAsia"/>
          <w:szCs w:val="21"/>
        </w:rPr>
        <w:t>02</w:t>
      </w:r>
      <w:r>
        <w:rPr>
          <w:rFonts w:hint="eastAsia" w:asciiTheme="minorEastAsia" w:hAnsiTheme="minorEastAsia" w:eastAsiaTheme="minorEastAsia"/>
          <w:szCs w:val="21"/>
        </w:rPr>
        <w:t>月</w:t>
      </w:r>
      <w:r>
        <w:rPr>
          <w:rFonts w:asciiTheme="minorEastAsia" w:hAnsiTheme="minorEastAsia" w:eastAsiaTheme="minorEastAsia"/>
          <w:szCs w:val="21"/>
        </w:rPr>
        <w:t>28</w:t>
      </w:r>
      <w:r>
        <w:rPr>
          <w:rFonts w:hint="eastAsia" w:asciiTheme="minorEastAsia" w:hAnsiTheme="minorEastAsia" w:eastAsiaTheme="minorEastAsia"/>
          <w:szCs w:val="21"/>
        </w:rPr>
        <w:t>日起至2022年</w:t>
      </w:r>
      <w:r>
        <w:rPr>
          <w:rFonts w:asciiTheme="minorEastAsia" w:hAnsiTheme="minorEastAsia" w:eastAsiaTheme="minorEastAsia"/>
          <w:szCs w:val="21"/>
        </w:rPr>
        <w:t>03</w:t>
      </w:r>
      <w:r>
        <w:rPr>
          <w:rFonts w:hint="eastAsia" w:asciiTheme="minorEastAsia" w:hAnsiTheme="minorEastAsia" w:eastAsiaTheme="minorEastAsia"/>
          <w:szCs w:val="21"/>
        </w:rPr>
        <w:t>月</w:t>
      </w:r>
      <w:r>
        <w:rPr>
          <w:rFonts w:asciiTheme="minorEastAsia" w:hAnsiTheme="minorEastAsia" w:eastAsiaTheme="minorEastAsia"/>
          <w:szCs w:val="21"/>
        </w:rPr>
        <w:t>07</w:t>
      </w:r>
      <w:r>
        <w:rPr>
          <w:rFonts w:hint="eastAsia" w:asciiTheme="minorEastAsia" w:hAnsiTheme="minorEastAsia" w:eastAsiaTheme="minorEastAsia"/>
          <w:szCs w:val="21"/>
        </w:rPr>
        <w:t>日止,上午9:00-11:30,下午14:00-17:00（公休日及节假日除外，招标文件中时间均为北京时间）；</w:t>
      </w:r>
    </w:p>
    <w:p>
      <w:pPr>
        <w:adjustRightInd w:val="0"/>
        <w:snapToGrid w:val="0"/>
        <w:spacing w:line="360" w:lineRule="auto"/>
        <w:ind w:left="420"/>
        <w:jc w:val="left"/>
        <w:rPr>
          <w:rFonts w:asciiTheme="minorEastAsia" w:hAnsiTheme="minorEastAsia" w:eastAsiaTheme="minorEastAsia"/>
          <w:szCs w:val="21"/>
        </w:rPr>
      </w:pPr>
      <w:r>
        <w:rPr>
          <w:rFonts w:hint="eastAsia" w:asciiTheme="minorEastAsia" w:hAnsiTheme="minorEastAsia" w:eastAsiaTheme="minorEastAsia"/>
          <w:szCs w:val="21"/>
        </w:rPr>
        <w:t>2.地点：深圳市福田区福田体育公园西北角友和招标代理服务中心（靠近北门）；</w:t>
      </w:r>
    </w:p>
    <w:p>
      <w:pPr>
        <w:adjustRightInd w:val="0"/>
        <w:snapToGrid w:val="0"/>
        <w:spacing w:line="360" w:lineRule="auto"/>
        <w:ind w:left="420"/>
        <w:jc w:val="left"/>
        <w:rPr>
          <w:rFonts w:asciiTheme="minorEastAsia" w:hAnsiTheme="minorEastAsia" w:eastAsiaTheme="minorEastAsia"/>
          <w:szCs w:val="21"/>
        </w:rPr>
      </w:pPr>
      <w:r>
        <w:rPr>
          <w:rFonts w:hint="eastAsia" w:asciiTheme="minorEastAsia" w:hAnsiTheme="minorEastAsia" w:eastAsiaTheme="minorEastAsia"/>
          <w:szCs w:val="21"/>
        </w:rPr>
        <w:t>3.报名方式：线上报名，具体操作请登录“友和招标代理服务网”的重要通知中查看《关于采用线上报名方式的通知》；</w:t>
      </w:r>
    </w:p>
    <w:p>
      <w:pPr>
        <w:adjustRightInd w:val="0"/>
        <w:snapToGrid w:val="0"/>
        <w:spacing w:line="360" w:lineRule="auto"/>
        <w:ind w:left="420"/>
        <w:jc w:val="left"/>
        <w:rPr>
          <w:rFonts w:asciiTheme="minorEastAsia" w:hAnsiTheme="minorEastAsia" w:eastAsiaTheme="minorEastAsia"/>
          <w:szCs w:val="21"/>
        </w:rPr>
      </w:pPr>
      <w:r>
        <w:rPr>
          <w:rFonts w:hint="eastAsia" w:asciiTheme="minorEastAsia" w:hAnsiTheme="minorEastAsia" w:eastAsiaTheme="minorEastAsia"/>
          <w:szCs w:val="21"/>
        </w:rPr>
        <w:t>4.售价：本招标文件每套售价人民币600元，售后不退；如需邮寄，均以“到付”为邮寄费的付费方式。</w:t>
      </w:r>
    </w:p>
    <w:p>
      <w:pPr>
        <w:adjustRightInd w:val="0"/>
        <w:snapToGrid w:val="0"/>
        <w:spacing w:line="360" w:lineRule="auto"/>
        <w:ind w:left="42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szCs w:val="21"/>
        </w:rPr>
        <w:t>5.</w:t>
      </w:r>
      <w:r>
        <w:rPr>
          <w:rFonts w:asciiTheme="minorEastAsia" w:hAnsiTheme="minorEastAsia" w:eastAsiaTheme="minorEastAsia"/>
          <w:szCs w:val="21"/>
        </w:rPr>
        <w:t>招标文件售卖咨询电话：</w:t>
      </w:r>
      <w:r>
        <w:rPr>
          <w:rFonts w:hint="eastAsia" w:asciiTheme="minorEastAsia" w:hAnsiTheme="minorEastAsia" w:eastAsiaTheme="minorEastAsia"/>
          <w:szCs w:val="21"/>
        </w:rPr>
        <w:t>0755-83881111</w:t>
      </w:r>
    </w:p>
    <w:p>
      <w:pPr>
        <w:adjustRightInd w:val="0"/>
        <w:snapToGrid w:val="0"/>
        <w:spacing w:line="360" w:lineRule="auto"/>
        <w:ind w:left="420"/>
        <w:jc w:val="left"/>
        <w:rPr>
          <w:rFonts w:asciiTheme="minorEastAsia" w:hAnsiTheme="minorEastAsia" w:eastAsiaTheme="minorEastAsia"/>
          <w:szCs w:val="21"/>
        </w:rPr>
      </w:pPr>
      <w:r>
        <w:rPr>
          <w:rFonts w:hint="eastAsia" w:asciiTheme="minorEastAsia" w:hAnsiTheme="minorEastAsia" w:eastAsiaTheme="minorEastAsia"/>
          <w:szCs w:val="21"/>
        </w:rPr>
        <w:t>6.购买招标文件所需资料</w:t>
      </w:r>
      <w:r>
        <w:rPr>
          <w:rFonts w:asciiTheme="minorEastAsia" w:hAnsiTheme="minorEastAsia" w:eastAsiaTheme="minorEastAsia"/>
          <w:szCs w:val="21"/>
        </w:rPr>
        <w:t>：</w:t>
      </w:r>
    </w:p>
    <w:p>
      <w:pPr>
        <w:widowControl/>
        <w:snapToGrid w:val="0"/>
        <w:spacing w:line="360" w:lineRule="auto"/>
        <w:ind w:firstLine="420" w:firstLineChars="200"/>
        <w:jc w:val="left"/>
        <w:rPr>
          <w:rFonts w:ascii="宋体" w:hAnsi="宋体" w:cs="宋体"/>
          <w:kern w:val="0"/>
          <w:szCs w:val="21"/>
        </w:rP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法定代表人证明书原件</w:t>
      </w:r>
      <w:r>
        <w:rPr>
          <w:rFonts w:hint="eastAsia" w:cs="宋体" w:asciiTheme="minorEastAsia" w:hAnsiTheme="minorEastAsia" w:eastAsiaTheme="minorEastAsia"/>
          <w:kern w:val="0"/>
          <w:szCs w:val="21"/>
        </w:rPr>
        <w:t>及</w:t>
      </w:r>
      <w:r>
        <w:rPr>
          <w:rFonts w:cs="宋体" w:asciiTheme="minorEastAsia" w:hAnsiTheme="minorEastAsia" w:eastAsiaTheme="minorEastAsia"/>
          <w:kern w:val="0"/>
          <w:szCs w:val="21"/>
        </w:rPr>
        <w:t>身份证</w:t>
      </w:r>
      <w:r>
        <w:rPr>
          <w:rFonts w:hint="eastAsia" w:ascii="宋体" w:hAnsi="宋体" w:cs="宋体"/>
          <w:kern w:val="0"/>
          <w:szCs w:val="21"/>
        </w:rPr>
        <w:t>复印件</w:t>
      </w:r>
      <w:r>
        <w:rPr>
          <w:rFonts w:ascii="宋体" w:hAnsi="宋体" w:cs="宋体"/>
          <w:kern w:val="0"/>
          <w:szCs w:val="21"/>
        </w:rPr>
        <w:t>（加盖投标人公章）；</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法定代表人授权委托书原件</w:t>
      </w:r>
      <w:r>
        <w:rPr>
          <w:rFonts w:hint="eastAsia" w:ascii="宋体" w:hAnsi="宋体" w:cs="宋体"/>
          <w:kern w:val="0"/>
          <w:szCs w:val="21"/>
        </w:rPr>
        <w:t>及被授权人</w:t>
      </w:r>
      <w:r>
        <w:rPr>
          <w:rFonts w:ascii="宋体" w:hAnsi="宋体" w:cs="宋体"/>
          <w:kern w:val="0"/>
          <w:szCs w:val="21"/>
        </w:rPr>
        <w:t>身份证</w:t>
      </w:r>
      <w:r>
        <w:rPr>
          <w:rFonts w:hint="eastAsia" w:ascii="宋体" w:hAnsi="宋体" w:cs="宋体"/>
          <w:kern w:val="0"/>
          <w:szCs w:val="21"/>
        </w:rPr>
        <w:t>复印件</w:t>
      </w:r>
      <w:r>
        <w:rPr>
          <w:rFonts w:ascii="宋体" w:hAnsi="宋体" w:cs="宋体"/>
          <w:kern w:val="0"/>
          <w:szCs w:val="21"/>
        </w:rPr>
        <w:t>（加盖投标人公章）；</w:t>
      </w:r>
    </w:p>
    <w:p>
      <w:pPr>
        <w:widowControl/>
        <w:snapToGrid w:val="0"/>
        <w:spacing w:line="360" w:lineRule="auto"/>
        <w:ind w:firstLine="420" w:firstLineChars="200"/>
        <w:jc w:val="left"/>
        <w:rPr>
          <w:rFonts w:ascii="宋体" w:hAnsi="宋体"/>
          <w:b/>
          <w:szCs w:val="21"/>
          <w:u w:val="single"/>
        </w:rPr>
      </w:pPr>
      <w:r>
        <w:rPr>
          <w:rFonts w:hint="eastAsia" w:ascii="宋体" w:hAnsi="宋体" w:cs="宋体"/>
          <w:kern w:val="0"/>
          <w:szCs w:val="21"/>
        </w:rPr>
        <w:t>（3）上述“</w:t>
      </w:r>
      <w:r>
        <w:rPr>
          <w:rFonts w:hint="eastAsia" w:ascii="宋体" w:hAnsi="宋体"/>
          <w:szCs w:val="21"/>
        </w:rPr>
        <w:t>二、申请人的资格要求</w:t>
      </w:r>
      <w:r>
        <w:rPr>
          <w:rFonts w:hint="eastAsia" w:ascii="宋体" w:hAnsi="宋体" w:cs="宋体"/>
          <w:kern w:val="0"/>
          <w:szCs w:val="21"/>
        </w:rPr>
        <w:t>”中第2-3项证明文件。</w:t>
      </w:r>
    </w:p>
    <w:p>
      <w:pPr>
        <w:widowControl/>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温馨提示：</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1.以上材料（“二、投标人资格要求”中要求的第2-3项证明文件）投标时需放入投标文件中作为资格审查材料，投标时若未提供将作无效投标处理。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2.投标报名审核通过后，招标文件电子版将通过邮箱（uhocai@163.com）发送到投标报名表上填写的邮箱中。</w:t>
      </w:r>
    </w:p>
    <w:p>
      <w:pPr>
        <w:adjustRightInd w:val="0"/>
        <w:snapToGrid w:val="0"/>
        <w:spacing w:line="360" w:lineRule="auto"/>
        <w:jc w:val="left"/>
        <w:rPr>
          <w:rFonts w:ascii="宋体" w:hAnsi="宋体"/>
          <w:b/>
          <w:szCs w:val="21"/>
        </w:rPr>
      </w:pPr>
      <w:r>
        <w:rPr>
          <w:rFonts w:hint="eastAsia" w:ascii="宋体" w:hAnsi="宋体"/>
          <w:b/>
          <w:szCs w:val="21"/>
        </w:rPr>
        <w:t>四、提交投标文件截止时间、 开标时间和地点</w:t>
      </w:r>
    </w:p>
    <w:p>
      <w:pPr>
        <w:spacing w:line="360" w:lineRule="auto"/>
        <w:ind w:firstLine="420" w:firstLineChars="200"/>
        <w:rPr>
          <w:rFonts w:ascii="宋体" w:hAnsi="宋体" w:cs="宋体"/>
          <w:iCs/>
          <w:szCs w:val="21"/>
          <w:u w:val="single"/>
        </w:rPr>
      </w:pPr>
      <w:r>
        <w:rPr>
          <w:rFonts w:hint="eastAsia" w:ascii="宋体" w:hAnsi="宋体"/>
          <w:bCs/>
          <w:szCs w:val="21"/>
        </w:rPr>
        <w:t>时间：</w:t>
      </w:r>
      <w:r>
        <w:rPr>
          <w:rFonts w:hint="eastAsia" w:ascii="宋体" w:hAnsi="宋体"/>
          <w:bCs/>
          <w:szCs w:val="21"/>
          <w:u w:val="single"/>
          <w:lang w:val="zh-CN"/>
        </w:rPr>
        <w:t>202</w:t>
      </w:r>
      <w:r>
        <w:rPr>
          <w:rFonts w:hint="eastAsia" w:ascii="宋体" w:hAnsi="宋体"/>
          <w:bCs/>
          <w:szCs w:val="21"/>
          <w:u w:val="single"/>
        </w:rPr>
        <w:t>2</w:t>
      </w:r>
      <w:r>
        <w:rPr>
          <w:rFonts w:hint="eastAsia" w:ascii="宋体" w:hAnsi="宋体"/>
          <w:bCs/>
          <w:szCs w:val="21"/>
          <w:u w:val="single"/>
          <w:lang w:val="zh-CN"/>
        </w:rPr>
        <w:t>年</w:t>
      </w:r>
      <w:r>
        <w:rPr>
          <w:rFonts w:ascii="宋体" w:hAnsi="宋体"/>
          <w:bCs/>
          <w:szCs w:val="21"/>
          <w:u w:val="single"/>
        </w:rPr>
        <w:t>03</w:t>
      </w:r>
      <w:r>
        <w:rPr>
          <w:rFonts w:hint="eastAsia" w:ascii="宋体" w:hAnsi="宋体"/>
          <w:bCs/>
          <w:szCs w:val="21"/>
          <w:u w:val="single"/>
          <w:lang w:val="zh-CN"/>
        </w:rPr>
        <w:t>月</w:t>
      </w:r>
      <w:r>
        <w:rPr>
          <w:rFonts w:ascii="宋体" w:hAnsi="宋体"/>
          <w:bCs/>
          <w:szCs w:val="21"/>
          <w:u w:val="single"/>
          <w:lang w:val="zh-CN"/>
        </w:rPr>
        <w:t>14</w:t>
      </w:r>
      <w:r>
        <w:rPr>
          <w:rFonts w:hint="eastAsia" w:ascii="宋体" w:hAnsi="宋体"/>
          <w:bCs/>
          <w:szCs w:val="21"/>
          <w:u w:val="single"/>
          <w:lang w:val="zh-CN"/>
        </w:rPr>
        <w:t>日</w:t>
      </w:r>
      <w:r>
        <w:rPr>
          <w:rFonts w:ascii="宋体" w:hAnsi="宋体"/>
          <w:bCs/>
          <w:szCs w:val="21"/>
          <w:u w:val="single"/>
        </w:rPr>
        <w:t>14</w:t>
      </w:r>
      <w:r>
        <w:rPr>
          <w:rFonts w:hint="eastAsia" w:ascii="宋体" w:hAnsi="宋体"/>
          <w:bCs/>
          <w:szCs w:val="21"/>
          <w:u w:val="single"/>
          <w:lang w:val="zh-CN"/>
        </w:rPr>
        <w:t>:</w:t>
      </w:r>
      <w:r>
        <w:rPr>
          <w:rFonts w:ascii="宋体" w:hAnsi="宋体"/>
          <w:bCs/>
          <w:szCs w:val="21"/>
          <w:u w:val="single"/>
        </w:rPr>
        <w:t>30</w:t>
      </w:r>
      <w:r>
        <w:rPr>
          <w:rFonts w:hint="eastAsia" w:ascii="宋体" w:hAnsi="宋体"/>
          <w:bCs/>
          <w:szCs w:val="21"/>
          <w:u w:val="single"/>
          <w:lang w:val="zh-CN"/>
        </w:rPr>
        <w:t>:00（</w:t>
      </w:r>
      <w:r>
        <w:rPr>
          <w:rFonts w:hint="eastAsia" w:ascii="宋体" w:hAnsi="宋体"/>
          <w:bCs/>
          <w:szCs w:val="21"/>
        </w:rPr>
        <w:t>北京时间）</w:t>
      </w:r>
    </w:p>
    <w:p>
      <w:pPr>
        <w:spacing w:line="360" w:lineRule="auto"/>
        <w:ind w:firstLine="420" w:firstLineChars="200"/>
        <w:rPr>
          <w:rFonts w:ascii="宋体" w:hAnsi="宋体"/>
          <w:bCs/>
          <w:szCs w:val="21"/>
          <w:u w:val="single"/>
        </w:rPr>
      </w:pPr>
      <w:r>
        <w:rPr>
          <w:rFonts w:hint="eastAsia" w:ascii="宋体" w:hAnsi="宋体"/>
          <w:szCs w:val="21"/>
        </w:rPr>
        <w:t>地点：</w:t>
      </w:r>
      <w:r>
        <w:rPr>
          <w:rFonts w:hint="eastAsia" w:ascii="宋体" w:hAnsi="宋体"/>
          <w:snapToGrid w:val="0"/>
          <w:szCs w:val="21"/>
          <w:lang w:val="zh-CN"/>
        </w:rPr>
        <w:t>深圳市福田区福田体育公园西北角友和招标代理服务中心（靠近北门）</w:t>
      </w:r>
    </w:p>
    <w:p>
      <w:pPr>
        <w:adjustRightInd w:val="0"/>
        <w:snapToGrid w:val="0"/>
        <w:spacing w:line="360" w:lineRule="auto"/>
        <w:jc w:val="left"/>
        <w:rPr>
          <w:rFonts w:ascii="宋体" w:hAnsi="宋体"/>
          <w:b/>
          <w:szCs w:val="21"/>
        </w:rPr>
      </w:pPr>
      <w:r>
        <w:rPr>
          <w:rFonts w:hint="eastAsia" w:ascii="宋体" w:hAnsi="宋体"/>
          <w:b/>
          <w:szCs w:val="21"/>
        </w:rPr>
        <w:t>五、公告期限</w:t>
      </w:r>
    </w:p>
    <w:p>
      <w:pPr>
        <w:adjustRightInd w:val="0"/>
        <w:snapToGrid w:val="0"/>
        <w:spacing w:line="360" w:lineRule="auto"/>
        <w:ind w:firstLine="420" w:firstLineChars="200"/>
        <w:jc w:val="left"/>
        <w:rPr>
          <w:rFonts w:ascii="宋体" w:hAnsi="宋体"/>
          <w:szCs w:val="21"/>
          <w:u w:val="single"/>
        </w:rPr>
      </w:pPr>
      <w:r>
        <w:rPr>
          <w:rFonts w:hint="eastAsia" w:ascii="宋体" w:hAnsi="宋体"/>
          <w:szCs w:val="21"/>
          <w:u w:val="single"/>
        </w:rPr>
        <w:t>自本公告发布之日起 5 个工作日。</w:t>
      </w:r>
    </w:p>
    <w:p>
      <w:pPr>
        <w:adjustRightInd w:val="0"/>
        <w:snapToGrid w:val="0"/>
        <w:spacing w:line="360" w:lineRule="auto"/>
        <w:jc w:val="left"/>
        <w:rPr>
          <w:rFonts w:ascii="宋体" w:hAnsi="宋体"/>
          <w:b/>
          <w:szCs w:val="21"/>
        </w:rPr>
      </w:pPr>
      <w:r>
        <w:rPr>
          <w:rFonts w:hint="eastAsia" w:ascii="宋体" w:hAnsi="宋体"/>
          <w:b/>
          <w:szCs w:val="21"/>
        </w:rPr>
        <w:t>六、其他补充事宜：</w:t>
      </w:r>
    </w:p>
    <w:p>
      <w:pPr>
        <w:pStyle w:val="287"/>
        <w:adjustRightInd w:val="0"/>
        <w:snapToGrid w:val="0"/>
        <w:spacing w:line="360" w:lineRule="auto"/>
        <w:ind w:left="422" w:firstLine="0" w:firstLineChars="0"/>
        <w:jc w:val="left"/>
        <w:rPr>
          <w:rFonts w:ascii="宋体" w:hAnsi="宋体"/>
          <w:b/>
          <w:szCs w:val="21"/>
        </w:rPr>
      </w:pPr>
      <w:r>
        <w:rPr>
          <w:rFonts w:hint="eastAsia" w:ascii="宋体" w:hAnsi="宋体"/>
          <w:b/>
          <w:szCs w:val="21"/>
        </w:rPr>
        <w:t>1.澄清及答疑事项：</w:t>
      </w:r>
    </w:p>
    <w:p>
      <w:pPr>
        <w:pStyle w:val="14"/>
        <w:snapToGrid w:val="0"/>
        <w:spacing w:line="360" w:lineRule="auto"/>
        <w:rPr>
          <w:rFonts w:ascii="宋体" w:hAnsi="宋体"/>
          <w:snapToGrid w:val="0"/>
          <w:sz w:val="21"/>
          <w:szCs w:val="21"/>
          <w:lang w:val="zh-CN"/>
        </w:rPr>
      </w:pPr>
      <w:r>
        <w:rPr>
          <w:rFonts w:hint="eastAsia" w:ascii="宋体" w:hAnsi="宋体"/>
          <w:snapToGrid w:val="0"/>
          <w:sz w:val="21"/>
          <w:szCs w:val="21"/>
          <w:lang w:val="zh-CN"/>
        </w:rPr>
        <w:t>投标人要求采购人对招标文件进行澄清的，请于投标截止日五日前，以书面形式加盖单位公章邮件或送达招标代理机构，邮件须电话确认，逾期不予受理。对招标文件进行澄清或者修改的，招标代理机构在投标截止日三日前通知所有已收受招标文件或者已响应招标的供应商。对招标文件的任何澄清或者修改，以招标代理机构发出的通知为准。</w:t>
      </w:r>
    </w:p>
    <w:p>
      <w:pPr>
        <w:pStyle w:val="287"/>
        <w:adjustRightInd w:val="0"/>
        <w:snapToGrid w:val="0"/>
        <w:spacing w:line="360" w:lineRule="auto"/>
        <w:ind w:left="422" w:firstLine="0" w:firstLineChars="0"/>
        <w:jc w:val="left"/>
        <w:rPr>
          <w:rFonts w:ascii="宋体" w:hAnsi="宋体"/>
          <w:b/>
          <w:bCs/>
          <w:szCs w:val="21"/>
        </w:rPr>
      </w:pPr>
      <w:r>
        <w:rPr>
          <w:rFonts w:hint="eastAsia" w:ascii="宋体" w:hAnsi="宋体"/>
          <w:b/>
          <w:bCs/>
          <w:szCs w:val="21"/>
        </w:rPr>
        <w:t>2.重要提示：</w:t>
      </w:r>
    </w:p>
    <w:p>
      <w:pPr>
        <w:adjustRightInd w:val="0"/>
        <w:snapToGrid w:val="0"/>
        <w:spacing w:line="360" w:lineRule="auto"/>
        <w:ind w:firstLine="420" w:firstLineChars="200"/>
        <w:jc w:val="left"/>
        <w:rPr>
          <w:rFonts w:ascii="宋体" w:hAnsi="宋体"/>
          <w:szCs w:val="21"/>
        </w:rPr>
      </w:pPr>
      <w:r>
        <w:rPr>
          <w:rFonts w:hint="eastAsia" w:ascii="宋体" w:hAnsi="宋体" w:cs="宋体"/>
          <w:szCs w:val="21"/>
        </w:rPr>
        <w:t>（1）投标人</w:t>
      </w:r>
      <w:r>
        <w:rPr>
          <w:rFonts w:hint="eastAsia" w:ascii="宋体" w:hAnsi="宋体"/>
          <w:szCs w:val="21"/>
        </w:rPr>
        <w:t>有义务在招标活动期间浏览下述“</w:t>
      </w:r>
      <w:r>
        <w:rPr>
          <w:rFonts w:ascii="宋体" w:hAnsi="宋体"/>
          <w:szCs w:val="21"/>
        </w:rPr>
        <w:t>相关项目信息查询网址</w:t>
      </w:r>
      <w:r>
        <w:rPr>
          <w:rFonts w:hint="eastAsia" w:ascii="宋体" w:hAnsi="宋体"/>
          <w:szCs w:val="21"/>
        </w:rPr>
        <w:t>”中各网站信息，招标人在相关网站上公布的与本次招标项目有关的信息视为已送达各投标人。招标人恕不再行电话通知各投标人。</w:t>
      </w:r>
      <w:r>
        <w:rPr>
          <w:rFonts w:ascii="宋体" w:hAnsi="宋体"/>
          <w:szCs w:val="21"/>
        </w:rPr>
        <w:br w:type="textWrapping"/>
      </w:r>
      <w:r>
        <w:rPr>
          <w:rFonts w:hint="eastAsia" w:ascii="宋体" w:hAnsi="宋体"/>
          <w:szCs w:val="21"/>
        </w:rPr>
        <w:t xml:space="preserve">    （2）因故重新采购的项目，再次参与投标的供应商需重新办理投标报名手续，重新填写《投标报名表》；否则，其投标将被拒绝。</w:t>
      </w:r>
    </w:p>
    <w:p>
      <w:pPr>
        <w:pStyle w:val="287"/>
        <w:adjustRightInd w:val="0"/>
        <w:snapToGrid w:val="0"/>
        <w:spacing w:line="400" w:lineRule="exact"/>
        <w:ind w:firstLine="632" w:firstLineChars="300"/>
        <w:jc w:val="left"/>
      </w:pPr>
      <w:r>
        <w:rPr>
          <w:rFonts w:hint="eastAsia" w:asciiTheme="minorEastAsia" w:hAnsiTheme="minorEastAsia" w:eastAsiaTheme="minorEastAsia" w:cstheme="minorEastAsia"/>
          <w:b/>
          <w:bCs/>
          <w:color w:val="000000"/>
          <w:szCs w:val="21"/>
        </w:rPr>
        <w:t>3.</w:t>
      </w:r>
      <w:r>
        <w:rPr>
          <w:rFonts w:hint="eastAsia" w:ascii="宋体" w:hAnsi="宋体" w:cs="宋体"/>
          <w:b/>
          <w:bCs/>
          <w:szCs w:val="21"/>
        </w:rPr>
        <w:t>本项目所属行业类型为</w:t>
      </w:r>
      <w:r>
        <w:rPr>
          <w:rFonts w:hint="eastAsia" w:ascii="宋体" w:hAnsi="宋体" w:cs="宋体"/>
          <w:szCs w:val="21"/>
        </w:rPr>
        <w:t>：</w:t>
      </w:r>
      <w:r>
        <w:rPr>
          <w:rFonts w:ascii="宋体" w:hAnsi="宋体"/>
          <w:szCs w:val="21"/>
          <w:u w:val="single"/>
        </w:rPr>
        <w:t>其他未列明行业</w:t>
      </w:r>
      <w:r>
        <w:rPr>
          <w:rFonts w:hint="eastAsia" w:ascii="宋体" w:hAnsi="宋体" w:cs="宋体"/>
          <w:szCs w:val="21"/>
        </w:rPr>
        <w:t>，</w:t>
      </w:r>
      <w:r>
        <w:rPr>
          <w:rFonts w:hint="eastAsia" w:ascii="宋体" w:hAnsi="宋体" w:cs="宋体"/>
        </w:rPr>
        <w:t>投标人须根据《政府采购促进中小企业发展管理办法》（财库﹝2020﹞46 号）的规定填写《</w:t>
      </w:r>
      <w:r>
        <w:rPr>
          <w:rFonts w:hint="eastAsia" w:asciiTheme="minorEastAsia" w:hAnsiTheme="minorEastAsia" w:eastAsiaTheme="minorEastAsia"/>
          <w:bCs/>
          <w:kern w:val="0"/>
        </w:rPr>
        <w:t>中小企业声明函》。</w:t>
      </w:r>
    </w:p>
    <w:p>
      <w:pPr>
        <w:adjustRightInd w:val="0"/>
        <w:snapToGrid w:val="0"/>
        <w:spacing w:line="360" w:lineRule="auto"/>
        <w:jc w:val="left"/>
        <w:rPr>
          <w:rFonts w:ascii="宋体" w:hAnsi="宋体"/>
          <w:b/>
          <w:szCs w:val="21"/>
        </w:rPr>
      </w:pPr>
      <w:r>
        <w:rPr>
          <w:rFonts w:hint="eastAsia" w:ascii="宋体" w:hAnsi="宋体"/>
          <w:b/>
          <w:szCs w:val="21"/>
        </w:rPr>
        <w:t>七、对本次招标提出询问， 请按以下方式联系。</w:t>
      </w:r>
    </w:p>
    <w:p>
      <w:pPr>
        <w:pStyle w:val="290"/>
        <w:adjustRightInd w:val="0"/>
        <w:snapToGrid w:val="0"/>
        <w:spacing w:line="360" w:lineRule="auto"/>
        <w:ind w:left="420" w:firstLine="0" w:firstLineChars="0"/>
        <w:jc w:val="left"/>
        <w:rPr>
          <w:rFonts w:ascii="宋体" w:hAnsi="宋体"/>
          <w:szCs w:val="21"/>
        </w:rPr>
      </w:pPr>
      <w:r>
        <w:rPr>
          <w:rFonts w:hint="eastAsia" w:ascii="宋体" w:hAnsi="宋体"/>
          <w:szCs w:val="21"/>
        </w:rPr>
        <w:t>1.采购人信息</w:t>
      </w:r>
    </w:p>
    <w:p>
      <w:pPr>
        <w:adjustRightInd w:val="0"/>
        <w:snapToGrid w:val="0"/>
        <w:spacing w:line="360" w:lineRule="auto"/>
        <w:ind w:firstLine="420" w:firstLineChars="200"/>
        <w:jc w:val="left"/>
        <w:rPr>
          <w:rFonts w:ascii="宋体" w:hAnsi="宋体"/>
          <w:szCs w:val="21"/>
        </w:rPr>
      </w:pPr>
      <w:r>
        <w:rPr>
          <w:rFonts w:hint="eastAsia" w:ascii="宋体" w:hAnsi="宋体"/>
          <w:szCs w:val="21"/>
        </w:rPr>
        <w:t>名 称：深圳市医疗保障局宝安分局</w:t>
      </w:r>
    </w:p>
    <w:p>
      <w:pPr>
        <w:adjustRightInd w:val="0"/>
        <w:snapToGrid w:val="0"/>
        <w:spacing w:line="360" w:lineRule="auto"/>
        <w:ind w:firstLine="420" w:firstLineChars="200"/>
        <w:jc w:val="left"/>
        <w:rPr>
          <w:rFonts w:ascii="宋体" w:hAnsi="宋体"/>
          <w:szCs w:val="21"/>
        </w:rPr>
      </w:pPr>
      <w:r>
        <w:rPr>
          <w:rFonts w:hint="eastAsia" w:ascii="宋体" w:hAnsi="宋体"/>
          <w:szCs w:val="21"/>
        </w:rPr>
        <w:t xml:space="preserve">地 址：深圳市宝安区新安街道新安二路211号二楼A206           </w:t>
      </w:r>
    </w:p>
    <w:p>
      <w:pPr>
        <w:adjustRightInd w:val="0"/>
        <w:snapToGrid w:val="0"/>
        <w:spacing w:line="360" w:lineRule="auto"/>
        <w:ind w:firstLine="420" w:firstLineChars="200"/>
        <w:jc w:val="left"/>
        <w:rPr>
          <w:rFonts w:ascii="宋体" w:hAnsi="宋体"/>
          <w:szCs w:val="21"/>
        </w:rPr>
      </w:pPr>
      <w:r>
        <w:rPr>
          <w:rFonts w:hint="eastAsia" w:ascii="宋体" w:hAnsi="宋体"/>
          <w:szCs w:val="21"/>
        </w:rPr>
        <w:t xml:space="preserve">联系方式：罗先生 075527881430          </w:t>
      </w:r>
    </w:p>
    <w:p>
      <w:pPr>
        <w:pStyle w:val="290"/>
        <w:adjustRightInd w:val="0"/>
        <w:snapToGrid w:val="0"/>
        <w:spacing w:line="360" w:lineRule="auto"/>
        <w:ind w:left="420" w:firstLine="0" w:firstLineChars="0"/>
        <w:jc w:val="left"/>
        <w:rPr>
          <w:rFonts w:ascii="宋体" w:hAnsi="宋体"/>
          <w:szCs w:val="21"/>
        </w:rPr>
      </w:pPr>
      <w:r>
        <w:rPr>
          <w:rFonts w:hint="eastAsia" w:ascii="宋体" w:hAnsi="宋体"/>
          <w:szCs w:val="21"/>
        </w:rPr>
        <w:t>2.采购代理机构信息</w:t>
      </w:r>
    </w:p>
    <w:p>
      <w:pPr>
        <w:adjustRightInd w:val="0"/>
        <w:snapToGrid w:val="0"/>
        <w:spacing w:line="360" w:lineRule="auto"/>
        <w:ind w:firstLine="420" w:firstLineChars="200"/>
        <w:jc w:val="left"/>
        <w:rPr>
          <w:rFonts w:ascii="宋体" w:hAnsi="宋体"/>
          <w:szCs w:val="21"/>
        </w:rPr>
      </w:pPr>
      <w:r>
        <w:rPr>
          <w:rFonts w:hint="eastAsia" w:ascii="宋体" w:hAnsi="宋体"/>
          <w:szCs w:val="21"/>
        </w:rPr>
        <w:t>名 称：友和保险经纪有限公司</w:t>
      </w:r>
    </w:p>
    <w:p>
      <w:pPr>
        <w:adjustRightInd w:val="0"/>
        <w:snapToGrid w:val="0"/>
        <w:spacing w:line="360" w:lineRule="auto"/>
        <w:ind w:firstLine="420" w:firstLineChars="200"/>
        <w:jc w:val="left"/>
        <w:rPr>
          <w:rFonts w:ascii="宋体" w:hAnsi="宋体"/>
          <w:szCs w:val="21"/>
        </w:rPr>
      </w:pPr>
      <w:r>
        <w:rPr>
          <w:rFonts w:hint="eastAsia" w:ascii="宋体" w:hAnsi="宋体"/>
          <w:szCs w:val="21"/>
        </w:rPr>
        <w:t>地 址：深圳市福田区福田体育公园西北角友和招标代理服务中心（靠近北门）</w:t>
      </w:r>
    </w:p>
    <w:p>
      <w:pPr>
        <w:adjustRightInd w:val="0"/>
        <w:snapToGrid w:val="0"/>
        <w:spacing w:line="360" w:lineRule="auto"/>
        <w:ind w:firstLine="420" w:firstLineChars="200"/>
        <w:jc w:val="left"/>
        <w:rPr>
          <w:rFonts w:ascii="宋体" w:hAnsi="宋体"/>
          <w:szCs w:val="21"/>
        </w:rPr>
      </w:pPr>
      <w:r>
        <w:rPr>
          <w:rFonts w:hint="eastAsia" w:ascii="宋体" w:hAnsi="宋体"/>
          <w:szCs w:val="21"/>
        </w:rPr>
        <w:t xml:space="preserve">联系方式：0755-83881281                     </w:t>
      </w:r>
    </w:p>
    <w:p>
      <w:pPr>
        <w:pStyle w:val="290"/>
        <w:adjustRightInd w:val="0"/>
        <w:snapToGrid w:val="0"/>
        <w:spacing w:line="360" w:lineRule="auto"/>
        <w:ind w:left="420" w:firstLine="0" w:firstLineChars="0"/>
        <w:jc w:val="left"/>
        <w:rPr>
          <w:rFonts w:ascii="宋体" w:hAnsi="宋体"/>
          <w:szCs w:val="21"/>
        </w:rPr>
      </w:pPr>
      <w:r>
        <w:rPr>
          <w:rFonts w:hint="eastAsia" w:ascii="宋体" w:hAnsi="宋体"/>
          <w:szCs w:val="21"/>
        </w:rPr>
        <w:t>3.项目联系方式</w:t>
      </w:r>
    </w:p>
    <w:p>
      <w:pPr>
        <w:adjustRightInd w:val="0"/>
        <w:snapToGrid w:val="0"/>
        <w:spacing w:line="360" w:lineRule="auto"/>
        <w:ind w:firstLine="420" w:firstLineChars="200"/>
        <w:jc w:val="left"/>
        <w:rPr>
          <w:rFonts w:ascii="宋体" w:hAnsi="宋体"/>
          <w:szCs w:val="21"/>
        </w:rPr>
      </w:pPr>
      <w:r>
        <w:rPr>
          <w:rFonts w:hint="eastAsia" w:ascii="宋体" w:hAnsi="宋体"/>
          <w:szCs w:val="21"/>
        </w:rPr>
        <w:t xml:space="preserve">项目联系人：吴丹余   </w:t>
      </w:r>
    </w:p>
    <w:p>
      <w:pPr>
        <w:adjustRightInd w:val="0"/>
        <w:snapToGrid w:val="0"/>
        <w:spacing w:line="360" w:lineRule="auto"/>
        <w:ind w:firstLine="420" w:firstLineChars="200"/>
        <w:jc w:val="left"/>
        <w:rPr>
          <w:rFonts w:ascii="宋体" w:hAnsi="宋体"/>
          <w:szCs w:val="21"/>
        </w:rPr>
      </w:pPr>
      <w:r>
        <w:rPr>
          <w:rFonts w:hint="eastAsia" w:ascii="宋体" w:hAnsi="宋体"/>
          <w:szCs w:val="21"/>
        </w:rPr>
        <w:t>电      话：0755-83881995</w:t>
      </w:r>
    </w:p>
    <w:p>
      <w:pPr>
        <w:pStyle w:val="290"/>
        <w:adjustRightInd w:val="0"/>
        <w:snapToGrid w:val="0"/>
        <w:spacing w:line="360" w:lineRule="auto"/>
        <w:ind w:left="420" w:firstLine="0" w:firstLineChars="0"/>
        <w:jc w:val="left"/>
        <w:rPr>
          <w:rFonts w:ascii="宋体" w:hAnsi="宋体"/>
          <w:szCs w:val="21"/>
        </w:rPr>
      </w:pPr>
      <w:r>
        <w:rPr>
          <w:rFonts w:hint="eastAsia" w:ascii="宋体" w:hAnsi="宋体"/>
          <w:szCs w:val="21"/>
        </w:rPr>
        <w:t>4.</w:t>
      </w:r>
      <w:r>
        <w:rPr>
          <w:rFonts w:ascii="宋体" w:hAnsi="宋体"/>
          <w:szCs w:val="21"/>
        </w:rPr>
        <w:t>相关项目信息查询网址</w:t>
      </w:r>
    </w:p>
    <w:p>
      <w:pPr>
        <w:adjustRightInd w:val="0"/>
        <w:snapToGrid w:val="0"/>
        <w:spacing w:line="360" w:lineRule="auto"/>
        <w:ind w:left="420" w:leftChars="200"/>
        <w:jc w:val="left"/>
        <w:rPr>
          <w:rFonts w:ascii="宋体" w:hAnsi="宋体"/>
          <w:szCs w:val="21"/>
        </w:rPr>
      </w:pPr>
      <w:r>
        <w:rPr>
          <w:rFonts w:hint="eastAsia" w:ascii="宋体" w:hAnsi="宋体"/>
          <w:szCs w:val="21"/>
        </w:rPr>
        <w:t>深圳公共资源交易中心（深圳交易集团有限公司政府采购业务分公司）http://www.szggzy.com/</w:t>
      </w:r>
    </w:p>
    <w:p>
      <w:pPr>
        <w:adjustRightInd w:val="0"/>
        <w:snapToGrid w:val="0"/>
        <w:spacing w:line="360" w:lineRule="auto"/>
        <w:ind w:firstLine="420" w:firstLineChars="200"/>
        <w:jc w:val="left"/>
        <w:rPr>
          <w:rFonts w:ascii="宋体" w:hAnsi="宋体"/>
          <w:szCs w:val="21"/>
        </w:rPr>
      </w:pPr>
      <w:r>
        <w:rPr>
          <w:rFonts w:hint="eastAsia" w:ascii="宋体" w:hAnsi="宋体"/>
          <w:szCs w:val="21"/>
        </w:rPr>
        <w:t xml:space="preserve">友和招标代理服务网  </w:t>
      </w:r>
      <w:r>
        <w:rPr>
          <w:rFonts w:hint="eastAsia"/>
        </w:rPr>
        <w:t>http://yhzb.uho.cn/</w:t>
      </w:r>
    </w:p>
    <w:p>
      <w:pPr>
        <w:pStyle w:val="119"/>
        <w:spacing w:line="276" w:lineRule="auto"/>
        <w:ind w:firstLine="0" w:firstLineChars="0"/>
        <w:rPr>
          <w:rFonts w:cs="宋体"/>
          <w:b/>
          <w:sz w:val="21"/>
          <w:szCs w:val="21"/>
        </w:rPr>
      </w:pPr>
      <w:r>
        <w:rPr>
          <w:rFonts w:hint="eastAsia"/>
          <w:b/>
          <w:sz w:val="21"/>
          <w:szCs w:val="21"/>
        </w:rPr>
        <w:t>八、银行账户信息</w:t>
      </w:r>
    </w:p>
    <w:tbl>
      <w:tblPr>
        <w:tblStyle w:val="43"/>
        <w:tblW w:w="74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54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03" w:type="dxa"/>
            <w:gridSpan w:val="2"/>
            <w:tcBorders>
              <w:top w:val="double" w:color="auto" w:sz="4" w:space="0"/>
              <w:left w:val="double" w:color="auto" w:sz="4" w:space="0"/>
              <w:bottom w:val="single" w:color="auto" w:sz="6" w:space="0"/>
              <w:right w:val="double" w:color="auto" w:sz="4" w:space="0"/>
            </w:tcBorders>
            <w:vAlign w:val="center"/>
          </w:tcPr>
          <w:p>
            <w:pPr>
              <w:pStyle w:val="119"/>
              <w:spacing w:line="276" w:lineRule="auto"/>
              <w:ind w:firstLine="420"/>
              <w:rPr>
                <w:sz w:val="21"/>
                <w:szCs w:val="21"/>
              </w:rPr>
            </w:pPr>
            <w:r>
              <w:rPr>
                <w:rFonts w:hint="eastAsia"/>
                <w:sz w:val="21"/>
                <w:szCs w:val="21"/>
              </w:rPr>
              <w:t>缴费银行账户信息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single" w:color="C0C0C0" w:sz="6" w:space="0"/>
              <w:right w:val="single" w:color="C0C0C0" w:sz="6" w:space="0"/>
            </w:tcBorders>
            <w:vAlign w:val="center"/>
          </w:tcPr>
          <w:p>
            <w:pPr>
              <w:pStyle w:val="119"/>
              <w:spacing w:line="276" w:lineRule="auto"/>
              <w:ind w:firstLine="420"/>
              <w:rPr>
                <w:sz w:val="21"/>
                <w:szCs w:val="21"/>
              </w:rPr>
            </w:pPr>
            <w:r>
              <w:rPr>
                <w:rFonts w:hint="eastAsia"/>
                <w:sz w:val="21"/>
                <w:szCs w:val="21"/>
              </w:rPr>
              <w:t>开户银行</w:t>
            </w:r>
          </w:p>
        </w:tc>
        <w:tc>
          <w:tcPr>
            <w:tcW w:w="5433" w:type="dxa"/>
            <w:tcBorders>
              <w:top w:val="single" w:color="C0C0C0" w:sz="6" w:space="0"/>
              <w:left w:val="single" w:color="C0C0C0" w:sz="6" w:space="0"/>
              <w:bottom w:val="single" w:color="C0C0C0" w:sz="6" w:space="0"/>
              <w:right w:val="double" w:color="auto" w:sz="4" w:space="0"/>
            </w:tcBorders>
            <w:vAlign w:val="center"/>
          </w:tcPr>
          <w:p>
            <w:pPr>
              <w:pStyle w:val="119"/>
              <w:spacing w:line="276" w:lineRule="auto"/>
              <w:ind w:firstLine="420"/>
              <w:rPr>
                <w:sz w:val="21"/>
                <w:szCs w:val="21"/>
              </w:rPr>
            </w:pPr>
            <w:r>
              <w:rPr>
                <w:rFonts w:hint="eastAsia"/>
                <w:sz w:val="21"/>
                <w:szCs w:val="21"/>
              </w:rPr>
              <w:t>中国民生银行深圳分行福田支行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single" w:color="C0C0C0" w:sz="6" w:space="0"/>
              <w:right w:val="single" w:color="C0C0C0" w:sz="6" w:space="0"/>
            </w:tcBorders>
            <w:vAlign w:val="center"/>
          </w:tcPr>
          <w:p>
            <w:pPr>
              <w:pStyle w:val="119"/>
              <w:spacing w:line="276" w:lineRule="auto"/>
              <w:ind w:firstLine="420"/>
              <w:rPr>
                <w:sz w:val="21"/>
                <w:szCs w:val="21"/>
              </w:rPr>
            </w:pPr>
            <w:r>
              <w:rPr>
                <w:rFonts w:hint="eastAsia"/>
                <w:sz w:val="21"/>
                <w:szCs w:val="21"/>
              </w:rPr>
              <w:t>收款单位</w:t>
            </w:r>
          </w:p>
        </w:tc>
        <w:tc>
          <w:tcPr>
            <w:tcW w:w="5433" w:type="dxa"/>
            <w:tcBorders>
              <w:top w:val="single" w:color="C0C0C0" w:sz="6" w:space="0"/>
              <w:left w:val="single" w:color="C0C0C0" w:sz="6" w:space="0"/>
              <w:bottom w:val="single" w:color="C0C0C0" w:sz="6" w:space="0"/>
              <w:right w:val="double" w:color="auto" w:sz="4" w:space="0"/>
            </w:tcBorders>
            <w:vAlign w:val="center"/>
          </w:tcPr>
          <w:p>
            <w:pPr>
              <w:pStyle w:val="119"/>
              <w:spacing w:line="276" w:lineRule="auto"/>
              <w:ind w:firstLine="420"/>
              <w:rPr>
                <w:sz w:val="21"/>
                <w:szCs w:val="21"/>
              </w:rPr>
            </w:pPr>
            <w:r>
              <w:rPr>
                <w:rFonts w:hint="eastAsia"/>
                <w:sz w:val="21"/>
                <w:szCs w:val="21"/>
              </w:rPr>
              <w:t>友和保险经纪有限公司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double" w:color="auto" w:sz="4" w:space="0"/>
              <w:right w:val="single" w:color="C0C0C0" w:sz="6" w:space="0"/>
            </w:tcBorders>
            <w:vAlign w:val="center"/>
          </w:tcPr>
          <w:p>
            <w:pPr>
              <w:pStyle w:val="119"/>
              <w:spacing w:line="276" w:lineRule="auto"/>
              <w:ind w:firstLine="420"/>
              <w:rPr>
                <w:sz w:val="21"/>
                <w:szCs w:val="21"/>
              </w:rPr>
            </w:pPr>
            <w:r>
              <w:rPr>
                <w:rFonts w:hint="eastAsia"/>
                <w:sz w:val="21"/>
                <w:szCs w:val="21"/>
              </w:rPr>
              <w:t>银行账号</w:t>
            </w:r>
          </w:p>
        </w:tc>
        <w:tc>
          <w:tcPr>
            <w:tcW w:w="5433" w:type="dxa"/>
            <w:tcBorders>
              <w:top w:val="single" w:color="C0C0C0" w:sz="6" w:space="0"/>
              <w:left w:val="single" w:color="C0C0C0" w:sz="6" w:space="0"/>
              <w:bottom w:val="double" w:color="auto" w:sz="4" w:space="0"/>
              <w:right w:val="double" w:color="auto" w:sz="4" w:space="0"/>
            </w:tcBorders>
            <w:vAlign w:val="center"/>
          </w:tcPr>
          <w:p>
            <w:pPr>
              <w:pStyle w:val="119"/>
              <w:spacing w:line="276" w:lineRule="auto"/>
              <w:ind w:firstLine="420"/>
              <w:rPr>
                <w:sz w:val="21"/>
                <w:szCs w:val="21"/>
              </w:rPr>
            </w:pPr>
            <w:r>
              <w:rPr>
                <w:rFonts w:hint="eastAsia"/>
                <w:sz w:val="21"/>
                <w:szCs w:val="21"/>
              </w:rPr>
              <w:t>1806014170017592</w:t>
            </w:r>
          </w:p>
        </w:tc>
      </w:tr>
    </w:tbl>
    <w:p>
      <w:pPr>
        <w:pStyle w:val="105"/>
        <w:rPr>
          <w:szCs w:val="21"/>
        </w:rPr>
      </w:pPr>
    </w:p>
    <w:p>
      <w:pPr>
        <w:adjustRightInd w:val="0"/>
        <w:snapToGrid w:val="0"/>
        <w:spacing w:line="360" w:lineRule="auto"/>
        <w:ind w:firstLine="420" w:firstLineChars="200"/>
        <w:jc w:val="right"/>
        <w:rPr>
          <w:rFonts w:ascii="宋体" w:hAnsi="宋体"/>
          <w:szCs w:val="21"/>
        </w:rPr>
      </w:pPr>
      <w:r>
        <w:rPr>
          <w:rFonts w:hint="eastAsia" w:ascii="宋体" w:hAnsi="宋体"/>
          <w:szCs w:val="21"/>
        </w:rPr>
        <w:t>友和保险经纪有限公司</w:t>
      </w:r>
    </w:p>
    <w:p>
      <w:pPr>
        <w:adjustRightInd w:val="0"/>
        <w:snapToGrid w:val="0"/>
        <w:spacing w:line="360" w:lineRule="auto"/>
        <w:ind w:firstLine="420" w:firstLineChars="200"/>
        <w:jc w:val="right"/>
        <w:rPr>
          <w:rFonts w:ascii="宋体" w:hAnsi="宋体"/>
          <w:szCs w:val="21"/>
        </w:rPr>
      </w:pPr>
      <w:r>
        <w:rPr>
          <w:rFonts w:hint="eastAsia" w:ascii="宋体" w:hAnsi="宋体"/>
          <w:szCs w:val="21"/>
        </w:rPr>
        <w:tab/>
      </w:r>
      <w:r>
        <w:rPr>
          <w:rFonts w:hint="eastAsia" w:ascii="宋体" w:hAnsi="宋体"/>
          <w:szCs w:val="21"/>
        </w:rPr>
        <w:tab/>
      </w:r>
      <w:r>
        <w:rPr>
          <w:rFonts w:hint="eastAsia" w:ascii="宋体" w:hAnsi="宋体"/>
          <w:szCs w:val="21"/>
        </w:rPr>
        <w:t xml:space="preserve"> 2022年</w:t>
      </w:r>
      <w:r>
        <w:rPr>
          <w:rFonts w:ascii="宋体" w:hAnsi="宋体"/>
          <w:szCs w:val="21"/>
        </w:rPr>
        <w:t>02</w:t>
      </w:r>
      <w:r>
        <w:rPr>
          <w:rFonts w:hint="eastAsia" w:ascii="宋体" w:hAnsi="宋体"/>
          <w:szCs w:val="21"/>
        </w:rPr>
        <w:t>月</w:t>
      </w:r>
      <w:r>
        <w:rPr>
          <w:rFonts w:ascii="宋体" w:hAnsi="宋体"/>
          <w:szCs w:val="21"/>
        </w:rPr>
        <w:t>28</w:t>
      </w:r>
      <w:r>
        <w:rPr>
          <w:rFonts w:hint="eastAsia" w:ascii="宋体" w:hAnsi="宋体"/>
          <w:szCs w:val="21"/>
        </w:rPr>
        <w:t>日</w:t>
      </w:r>
    </w:p>
    <w:p>
      <w:pPr>
        <w:pStyle w:val="5"/>
        <w:jc w:val="center"/>
      </w:pPr>
      <w:bookmarkStart w:id="241" w:name="_Toc13149"/>
      <w:r>
        <w:rPr>
          <w:rFonts w:hint="eastAsia"/>
        </w:rPr>
        <w:t>第二章关键信息</w:t>
      </w:r>
      <w:bookmarkEnd w:id="241"/>
    </w:p>
    <w:p>
      <w:pPr>
        <w:pStyle w:val="6"/>
        <w:jc w:val="center"/>
        <w:rPr>
          <w:rFonts w:ascii="黑体"/>
          <w:sz w:val="28"/>
          <w:szCs w:val="28"/>
        </w:rPr>
      </w:pPr>
      <w:bookmarkStart w:id="242" w:name="_Toc12745"/>
      <w:r>
        <w:rPr>
          <w:rFonts w:hint="eastAsia" w:ascii="黑体"/>
          <w:sz w:val="28"/>
          <w:szCs w:val="28"/>
        </w:rPr>
        <w:t>表一、投标须知前附表</w:t>
      </w:r>
      <w:bookmarkEnd w:id="242"/>
    </w:p>
    <w:tbl>
      <w:tblPr>
        <w:tblStyle w:val="43"/>
        <w:tblW w:w="92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3"/>
        <w:gridCol w:w="958"/>
        <w:gridCol w:w="2241"/>
        <w:gridCol w:w="541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b/>
                <w:bCs/>
                <w:szCs w:val="21"/>
              </w:rPr>
            </w:pPr>
            <w:bookmarkStart w:id="243" w:name="bt总则"/>
            <w:bookmarkEnd w:id="243"/>
            <w:r>
              <w:rPr>
                <w:rFonts w:hint="eastAsia" w:ascii="宋体" w:hAnsi="宋体"/>
                <w:b/>
                <w:bCs/>
                <w:szCs w:val="21"/>
              </w:rPr>
              <w:t>序号</w:t>
            </w:r>
          </w:p>
        </w:tc>
        <w:tc>
          <w:tcPr>
            <w:tcW w:w="958" w:type="dxa"/>
            <w:tcBorders>
              <w:left w:val="single" w:color="auto" w:sz="4" w:space="0"/>
            </w:tcBorders>
            <w:vAlign w:val="center"/>
          </w:tcPr>
          <w:p>
            <w:pPr>
              <w:jc w:val="center"/>
              <w:rPr>
                <w:rFonts w:ascii="宋体" w:hAnsi="宋体"/>
                <w:b/>
                <w:bCs/>
                <w:szCs w:val="21"/>
              </w:rPr>
            </w:pPr>
            <w:r>
              <w:rPr>
                <w:rFonts w:hint="eastAsia" w:ascii="宋体" w:hAnsi="宋体"/>
                <w:b/>
                <w:bCs/>
                <w:szCs w:val="21"/>
              </w:rPr>
              <w:t>第一册条款号</w:t>
            </w:r>
          </w:p>
        </w:tc>
        <w:tc>
          <w:tcPr>
            <w:tcW w:w="2241" w:type="dxa"/>
            <w:vAlign w:val="center"/>
          </w:tcPr>
          <w:p>
            <w:pPr>
              <w:jc w:val="center"/>
              <w:rPr>
                <w:rFonts w:ascii="宋体" w:hAnsi="宋体"/>
                <w:b/>
                <w:bCs/>
                <w:szCs w:val="21"/>
              </w:rPr>
            </w:pPr>
            <w:r>
              <w:rPr>
                <w:rFonts w:hint="eastAsia" w:ascii="宋体" w:hAnsi="宋体"/>
                <w:b/>
                <w:bCs/>
                <w:szCs w:val="21"/>
              </w:rPr>
              <w:t>内   容</w:t>
            </w:r>
          </w:p>
        </w:tc>
        <w:tc>
          <w:tcPr>
            <w:tcW w:w="5418" w:type="dxa"/>
            <w:vAlign w:val="center"/>
          </w:tcPr>
          <w:p>
            <w:pPr>
              <w:jc w:val="center"/>
              <w:rPr>
                <w:rFonts w:ascii="宋体" w:hAnsi="宋体"/>
                <w:b/>
                <w:bCs/>
                <w:szCs w:val="21"/>
              </w:rPr>
            </w:pPr>
            <w:r>
              <w:rPr>
                <w:rFonts w:hint="eastAsia" w:ascii="宋体" w:hAnsi="宋体"/>
                <w:b/>
                <w:bCs/>
                <w:szCs w:val="21"/>
              </w:rPr>
              <w:t>说明及规定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1</w:t>
            </w:r>
          </w:p>
        </w:tc>
        <w:tc>
          <w:tcPr>
            <w:tcW w:w="958" w:type="dxa"/>
            <w:tcBorders>
              <w:left w:val="single" w:color="auto" w:sz="4" w:space="0"/>
            </w:tcBorders>
            <w:vAlign w:val="center"/>
          </w:tcPr>
          <w:p>
            <w:pPr>
              <w:jc w:val="center"/>
              <w:rPr>
                <w:rFonts w:ascii="宋体" w:hAnsi="宋体"/>
                <w:szCs w:val="21"/>
              </w:rPr>
            </w:pPr>
          </w:p>
        </w:tc>
        <w:tc>
          <w:tcPr>
            <w:tcW w:w="2241" w:type="dxa"/>
            <w:vAlign w:val="center"/>
          </w:tcPr>
          <w:p>
            <w:pPr>
              <w:rPr>
                <w:rFonts w:ascii="宋体" w:hAnsi="宋体"/>
                <w:bCs/>
                <w:szCs w:val="21"/>
              </w:rPr>
            </w:pPr>
            <w:r>
              <w:rPr>
                <w:rFonts w:hint="eastAsia" w:ascii="宋体" w:hAnsi="宋体"/>
                <w:bCs/>
                <w:szCs w:val="21"/>
              </w:rPr>
              <w:t>资金来源</w:t>
            </w:r>
          </w:p>
        </w:tc>
        <w:tc>
          <w:tcPr>
            <w:tcW w:w="5418" w:type="dxa"/>
            <w:vAlign w:val="center"/>
          </w:tcPr>
          <w:p>
            <w:pPr>
              <w:rPr>
                <w:rFonts w:ascii="宋体" w:hAnsi="宋体"/>
                <w:snapToGrid w:val="0"/>
                <w:kern w:val="0"/>
                <w:szCs w:val="21"/>
                <w:lang w:val="zh-CN"/>
              </w:rPr>
            </w:pPr>
            <w:r>
              <w:rPr>
                <w:rFonts w:hint="eastAsia" w:ascii="宋体" w:hAnsi="宋体"/>
                <w:snapToGrid w:val="0"/>
                <w:kern w:val="0"/>
                <w:szCs w:val="21"/>
                <w:lang w:val="zh-CN"/>
              </w:rPr>
              <w:t>财政性资金100%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2</w:t>
            </w:r>
          </w:p>
        </w:tc>
        <w:tc>
          <w:tcPr>
            <w:tcW w:w="958" w:type="dxa"/>
            <w:tcBorders>
              <w:left w:val="single" w:color="auto" w:sz="4" w:space="0"/>
            </w:tcBorders>
            <w:vAlign w:val="center"/>
          </w:tcPr>
          <w:p>
            <w:pPr>
              <w:jc w:val="center"/>
              <w:rPr>
                <w:rFonts w:ascii="宋体" w:hAnsi="宋体"/>
                <w:szCs w:val="21"/>
              </w:rPr>
            </w:pPr>
          </w:p>
        </w:tc>
        <w:tc>
          <w:tcPr>
            <w:tcW w:w="2241" w:type="dxa"/>
            <w:vAlign w:val="center"/>
          </w:tcPr>
          <w:p>
            <w:pPr>
              <w:rPr>
                <w:rFonts w:ascii="宋体" w:hAnsi="宋体"/>
                <w:bCs/>
                <w:szCs w:val="21"/>
              </w:rPr>
            </w:pPr>
            <w:r>
              <w:rPr>
                <w:rFonts w:hint="eastAsia" w:ascii="宋体" w:hAnsi="宋体"/>
                <w:bCs/>
                <w:szCs w:val="21"/>
              </w:rPr>
              <w:t>项目预算或最高限价</w:t>
            </w:r>
          </w:p>
        </w:tc>
        <w:tc>
          <w:tcPr>
            <w:tcW w:w="5418" w:type="dxa"/>
            <w:vAlign w:val="center"/>
          </w:tcPr>
          <w:p>
            <w:pPr>
              <w:rPr>
                <w:rFonts w:ascii="宋体" w:hAnsi="宋体" w:cs="宋体"/>
                <w:kern w:val="0"/>
                <w:szCs w:val="21"/>
              </w:rPr>
            </w:pPr>
            <w:r>
              <w:rPr>
                <w:rFonts w:hint="eastAsia" w:ascii="宋体" w:hAnsi="宋体" w:cs="宋体"/>
                <w:kern w:val="0"/>
                <w:szCs w:val="21"/>
              </w:rPr>
              <w:t>小写：RMB240,000.00元</w:t>
            </w:r>
          </w:p>
          <w:p>
            <w:pPr>
              <w:rPr>
                <w:rFonts w:ascii="宋体" w:hAnsi="宋体" w:cs="宋体"/>
                <w:kern w:val="0"/>
                <w:szCs w:val="21"/>
              </w:rPr>
            </w:pPr>
            <w:r>
              <w:rPr>
                <w:rFonts w:hint="eastAsia" w:ascii="宋体" w:hAnsi="宋体" w:cs="宋体"/>
                <w:kern w:val="0"/>
                <w:szCs w:val="21"/>
              </w:rPr>
              <w:t>大写：人民币贰拾肆万元整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3</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2.10</w:t>
            </w:r>
          </w:p>
        </w:tc>
        <w:tc>
          <w:tcPr>
            <w:tcW w:w="2241" w:type="dxa"/>
            <w:vAlign w:val="center"/>
          </w:tcPr>
          <w:p>
            <w:pPr>
              <w:rPr>
                <w:rFonts w:ascii="宋体" w:hAnsi="宋体"/>
                <w:bCs/>
                <w:szCs w:val="21"/>
              </w:rPr>
            </w:pPr>
            <w:r>
              <w:rPr>
                <w:rFonts w:hint="eastAsia" w:ascii="宋体" w:hAnsi="宋体"/>
                <w:bCs/>
                <w:szCs w:val="21"/>
              </w:rPr>
              <w:t>项目名称</w:t>
            </w:r>
          </w:p>
        </w:tc>
        <w:tc>
          <w:tcPr>
            <w:tcW w:w="5418" w:type="dxa"/>
            <w:vAlign w:val="center"/>
          </w:tcPr>
          <w:p>
            <w:pPr>
              <w:rPr>
                <w:rFonts w:ascii="宋体" w:hAnsi="宋体" w:cs="宋体"/>
                <w:kern w:val="0"/>
                <w:szCs w:val="21"/>
              </w:rPr>
            </w:pPr>
            <w:r>
              <w:rPr>
                <w:rFonts w:hint="eastAsia" w:ascii="宋体" w:hAnsi="宋体"/>
                <w:snapToGrid w:val="0"/>
                <w:kern w:val="0"/>
                <w:szCs w:val="21"/>
                <w:lang w:val="zh-CN"/>
              </w:rPr>
              <w:t>深圳市医疗保障局宝安分局保安服务项目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bCs/>
                <w:szCs w:val="21"/>
              </w:rPr>
            </w:pPr>
            <w:r>
              <w:rPr>
                <w:rFonts w:hint="eastAsia" w:ascii="宋体" w:hAnsi="宋体"/>
                <w:bCs/>
                <w:szCs w:val="21"/>
              </w:rPr>
              <w:t>4</w:t>
            </w:r>
          </w:p>
        </w:tc>
        <w:tc>
          <w:tcPr>
            <w:tcW w:w="958" w:type="dxa"/>
            <w:tcBorders>
              <w:left w:val="single" w:color="auto" w:sz="4" w:space="0"/>
            </w:tcBorders>
            <w:vAlign w:val="center"/>
          </w:tcPr>
          <w:p>
            <w:pPr>
              <w:jc w:val="center"/>
              <w:rPr>
                <w:rFonts w:ascii="宋体" w:hAnsi="宋体"/>
                <w:szCs w:val="21"/>
              </w:rPr>
            </w:pPr>
          </w:p>
        </w:tc>
        <w:tc>
          <w:tcPr>
            <w:tcW w:w="2241" w:type="dxa"/>
            <w:vAlign w:val="center"/>
          </w:tcPr>
          <w:p>
            <w:pPr>
              <w:rPr>
                <w:rFonts w:ascii="宋体" w:hAnsi="宋体"/>
                <w:bCs/>
                <w:szCs w:val="21"/>
              </w:rPr>
            </w:pPr>
            <w:r>
              <w:rPr>
                <w:rFonts w:hint="eastAsia" w:ascii="宋体" w:hAnsi="宋体"/>
                <w:bCs/>
                <w:szCs w:val="21"/>
              </w:rPr>
              <w:t>投标报价</w:t>
            </w:r>
          </w:p>
        </w:tc>
        <w:tc>
          <w:tcPr>
            <w:tcW w:w="5418" w:type="dxa"/>
            <w:vAlign w:val="center"/>
          </w:tcPr>
          <w:p>
            <w:pPr>
              <w:rPr>
                <w:rFonts w:ascii="宋体" w:hAnsi="宋体"/>
                <w:snapToGrid w:val="0"/>
                <w:kern w:val="0"/>
                <w:szCs w:val="21"/>
                <w:lang w:val="zh-CN"/>
              </w:rPr>
            </w:pPr>
            <w:r>
              <w:rPr>
                <w:rFonts w:hint="eastAsia" w:ascii="宋体" w:hAnsi="宋体"/>
                <w:snapToGrid w:val="0"/>
                <w:kern w:val="0"/>
                <w:szCs w:val="21"/>
                <w:lang w:val="zh-CN"/>
              </w:rPr>
              <w:t>见投标人投标函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663" w:type="dxa"/>
            <w:tcBorders>
              <w:right w:val="single" w:color="auto" w:sz="4" w:space="0"/>
            </w:tcBorders>
            <w:vAlign w:val="center"/>
          </w:tcPr>
          <w:p>
            <w:pPr>
              <w:jc w:val="center"/>
              <w:rPr>
                <w:rFonts w:ascii="宋体" w:hAnsi="宋体"/>
                <w:bCs/>
                <w:szCs w:val="21"/>
              </w:rPr>
            </w:pPr>
            <w:r>
              <w:rPr>
                <w:rFonts w:hint="eastAsia" w:ascii="宋体" w:hAnsi="宋体"/>
                <w:bCs/>
                <w:szCs w:val="21"/>
              </w:rPr>
              <w:t>5</w:t>
            </w:r>
          </w:p>
        </w:tc>
        <w:tc>
          <w:tcPr>
            <w:tcW w:w="958" w:type="dxa"/>
            <w:tcBorders>
              <w:left w:val="single" w:color="auto" w:sz="4" w:space="0"/>
            </w:tcBorders>
            <w:vAlign w:val="center"/>
          </w:tcPr>
          <w:p>
            <w:pPr>
              <w:jc w:val="center"/>
              <w:rPr>
                <w:rFonts w:ascii="宋体" w:hAnsi="宋体"/>
                <w:bCs/>
                <w:szCs w:val="21"/>
              </w:rPr>
            </w:pPr>
            <w:r>
              <w:rPr>
                <w:rFonts w:hint="eastAsia" w:ascii="宋体" w:hAnsi="宋体"/>
                <w:bCs/>
                <w:szCs w:val="21"/>
              </w:rPr>
              <w:t>3.1</w:t>
            </w:r>
          </w:p>
        </w:tc>
        <w:tc>
          <w:tcPr>
            <w:tcW w:w="2241" w:type="dxa"/>
            <w:vAlign w:val="center"/>
          </w:tcPr>
          <w:p>
            <w:pPr>
              <w:rPr>
                <w:rFonts w:ascii="宋体" w:hAnsi="宋体"/>
                <w:bCs/>
                <w:szCs w:val="21"/>
              </w:rPr>
            </w:pPr>
            <w:r>
              <w:rPr>
                <w:rFonts w:hint="eastAsia" w:ascii="宋体" w:hAnsi="宋体"/>
                <w:bCs/>
                <w:szCs w:val="21"/>
              </w:rPr>
              <w:t>投标人的资质（格）要求</w:t>
            </w:r>
          </w:p>
        </w:tc>
        <w:tc>
          <w:tcPr>
            <w:tcW w:w="5418" w:type="dxa"/>
            <w:vAlign w:val="center"/>
          </w:tcPr>
          <w:p>
            <w:pPr>
              <w:rPr>
                <w:rFonts w:ascii="宋体" w:hAnsi="宋体"/>
                <w:snapToGrid w:val="0"/>
                <w:kern w:val="0"/>
                <w:szCs w:val="21"/>
                <w:lang w:val="zh-CN"/>
              </w:rPr>
            </w:pPr>
            <w:r>
              <w:rPr>
                <w:rFonts w:hint="eastAsia" w:ascii="宋体" w:hAnsi="宋体"/>
                <w:snapToGrid w:val="0"/>
                <w:kern w:val="0"/>
                <w:szCs w:val="21"/>
                <w:lang w:val="zh-CN"/>
              </w:rPr>
              <w:t>见招标公告中有关投标人资格要求中的相关内容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6</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18.1</w:t>
            </w:r>
          </w:p>
        </w:tc>
        <w:tc>
          <w:tcPr>
            <w:tcW w:w="2241" w:type="dxa"/>
            <w:vAlign w:val="center"/>
          </w:tcPr>
          <w:p>
            <w:pPr>
              <w:rPr>
                <w:rFonts w:ascii="宋体" w:hAnsi="宋体"/>
                <w:bCs/>
                <w:szCs w:val="21"/>
              </w:rPr>
            </w:pPr>
            <w:r>
              <w:rPr>
                <w:rFonts w:hint="eastAsia" w:ascii="宋体" w:hAnsi="宋体"/>
                <w:bCs/>
                <w:szCs w:val="21"/>
              </w:rPr>
              <w:t>投标文件正副本</w:t>
            </w:r>
          </w:p>
        </w:tc>
        <w:tc>
          <w:tcPr>
            <w:tcW w:w="5418" w:type="dxa"/>
            <w:vAlign w:val="center"/>
          </w:tcPr>
          <w:p>
            <w:pPr>
              <w:rPr>
                <w:rFonts w:ascii="宋体" w:hAnsi="宋体"/>
                <w:snapToGrid w:val="0"/>
                <w:kern w:val="0"/>
                <w:szCs w:val="21"/>
                <w:lang w:val="zh-CN"/>
              </w:rPr>
            </w:pPr>
            <w:r>
              <w:rPr>
                <w:rFonts w:hint="eastAsia" w:asciiTheme="minorEastAsia" w:hAnsiTheme="minorEastAsia" w:eastAsiaTheme="minorEastAsia"/>
                <w:color w:val="000000" w:themeColor="text1"/>
                <w:szCs w:val="21"/>
                <w14:textFill>
                  <w14:solidFill>
                    <w14:schemeClr w14:val="tx1"/>
                  </w14:solidFill>
                </w14:textFill>
              </w:rPr>
              <w:t>正本1份、副本5份（附电子版，电子版是以光盘、U盘或硬盘等移动存储介质提交的加盖公章的PDF电子投标文件。）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7</w:t>
            </w:r>
          </w:p>
        </w:tc>
        <w:tc>
          <w:tcPr>
            <w:tcW w:w="958" w:type="dxa"/>
            <w:tcBorders>
              <w:left w:val="single" w:color="auto" w:sz="4" w:space="0"/>
            </w:tcBorders>
            <w:vAlign w:val="center"/>
          </w:tcPr>
          <w:p>
            <w:pPr>
              <w:jc w:val="center"/>
              <w:rPr>
                <w:rFonts w:ascii="宋体" w:hAnsi="宋体"/>
                <w:szCs w:val="21"/>
              </w:rPr>
            </w:pPr>
          </w:p>
        </w:tc>
        <w:tc>
          <w:tcPr>
            <w:tcW w:w="2241" w:type="dxa"/>
            <w:vAlign w:val="center"/>
          </w:tcPr>
          <w:p>
            <w:pPr>
              <w:rPr>
                <w:rFonts w:ascii="宋体" w:hAnsi="宋体"/>
                <w:bCs/>
                <w:szCs w:val="21"/>
              </w:rPr>
            </w:pPr>
            <w:r>
              <w:rPr>
                <w:rFonts w:hint="eastAsia" w:ascii="宋体" w:hAnsi="宋体"/>
                <w:bCs/>
                <w:szCs w:val="21"/>
              </w:rPr>
              <w:t>交货/完工/服务期限</w:t>
            </w:r>
          </w:p>
        </w:tc>
        <w:tc>
          <w:tcPr>
            <w:tcW w:w="5418" w:type="dxa"/>
            <w:vAlign w:val="center"/>
          </w:tcPr>
          <w:p>
            <w:pPr>
              <w:rPr>
                <w:rFonts w:ascii="宋体" w:hAnsi="宋体"/>
                <w:snapToGrid w:val="0"/>
                <w:kern w:val="0"/>
                <w:szCs w:val="21"/>
                <w:lang w:val="zh-CN"/>
              </w:rPr>
            </w:pPr>
            <w:r>
              <w:rPr>
                <w:rFonts w:hint="eastAsia" w:ascii="宋体" w:hAnsi="宋体"/>
                <w:snapToGrid w:val="0"/>
                <w:kern w:val="0"/>
                <w:szCs w:val="21"/>
                <w:lang w:val="zh-CN"/>
              </w:rPr>
              <w:t>见后述招标有关要求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vMerge w:val="restart"/>
            <w:tcBorders>
              <w:right w:val="single" w:color="auto" w:sz="4" w:space="0"/>
            </w:tcBorders>
            <w:vAlign w:val="center"/>
          </w:tcPr>
          <w:p>
            <w:pPr>
              <w:jc w:val="center"/>
              <w:rPr>
                <w:rFonts w:ascii="宋体" w:hAnsi="宋体"/>
                <w:szCs w:val="21"/>
              </w:rPr>
            </w:pPr>
            <w:r>
              <w:rPr>
                <w:rFonts w:hint="eastAsia" w:ascii="宋体" w:hAnsi="宋体"/>
                <w:szCs w:val="21"/>
              </w:rPr>
              <w:t>8</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28.2</w:t>
            </w:r>
          </w:p>
        </w:tc>
        <w:tc>
          <w:tcPr>
            <w:tcW w:w="2241" w:type="dxa"/>
            <w:vAlign w:val="center"/>
          </w:tcPr>
          <w:p>
            <w:pPr>
              <w:rPr>
                <w:rFonts w:ascii="宋体" w:hAnsi="宋体"/>
                <w:bCs/>
                <w:szCs w:val="21"/>
              </w:rPr>
            </w:pPr>
            <w:r>
              <w:rPr>
                <w:rFonts w:hint="eastAsia" w:ascii="宋体" w:hAnsi="宋体"/>
                <w:bCs/>
                <w:szCs w:val="21"/>
              </w:rPr>
              <w:t>评标方法</w:t>
            </w:r>
          </w:p>
        </w:tc>
        <w:tc>
          <w:tcPr>
            <w:tcW w:w="5418" w:type="dxa"/>
            <w:vAlign w:val="center"/>
          </w:tcPr>
          <w:p>
            <w:pPr>
              <w:rPr>
                <w:rFonts w:ascii="宋体" w:hAnsi="宋体"/>
                <w:snapToGrid w:val="0"/>
                <w:kern w:val="0"/>
                <w:szCs w:val="21"/>
                <w:lang w:val="zh-CN"/>
              </w:rPr>
            </w:pPr>
            <w:r>
              <w:rPr>
                <w:rFonts w:hint="eastAsia" w:ascii="宋体" w:hAnsi="宋体"/>
                <w:szCs w:val="21"/>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vMerge w:val="continue"/>
            <w:tcBorders>
              <w:right w:val="single" w:color="auto" w:sz="4" w:space="0"/>
            </w:tcBorders>
            <w:vAlign w:val="center"/>
          </w:tcPr>
          <w:p>
            <w:pPr>
              <w:jc w:val="center"/>
              <w:rPr>
                <w:rFonts w:ascii="宋体" w:hAnsi="宋体"/>
                <w:szCs w:val="21"/>
              </w:rPr>
            </w:pPr>
          </w:p>
        </w:tc>
        <w:tc>
          <w:tcPr>
            <w:tcW w:w="958" w:type="dxa"/>
            <w:tcBorders>
              <w:left w:val="single" w:color="auto" w:sz="4" w:space="0"/>
            </w:tcBorders>
            <w:vAlign w:val="center"/>
          </w:tcPr>
          <w:p>
            <w:pPr>
              <w:jc w:val="center"/>
              <w:rPr>
                <w:rFonts w:ascii="宋体" w:hAnsi="宋体"/>
                <w:szCs w:val="21"/>
              </w:rPr>
            </w:pPr>
            <w:r>
              <w:rPr>
                <w:rFonts w:hint="eastAsia" w:ascii="宋体" w:hAnsi="宋体"/>
              </w:rPr>
              <w:t>29.2</w:t>
            </w:r>
          </w:p>
        </w:tc>
        <w:tc>
          <w:tcPr>
            <w:tcW w:w="2241" w:type="dxa"/>
            <w:vAlign w:val="center"/>
          </w:tcPr>
          <w:p>
            <w:pPr>
              <w:rPr>
                <w:rFonts w:ascii="宋体" w:hAnsi="宋体"/>
                <w:szCs w:val="21"/>
              </w:rPr>
            </w:pPr>
            <w:r>
              <w:rPr>
                <w:rFonts w:hint="eastAsia" w:ascii="宋体" w:hAnsi="宋体"/>
              </w:rPr>
              <w:t>定标方法</w:t>
            </w:r>
          </w:p>
        </w:tc>
        <w:tc>
          <w:tcPr>
            <w:tcW w:w="5418" w:type="dxa"/>
            <w:vAlign w:val="center"/>
          </w:tcPr>
          <w:p>
            <w:pPr>
              <w:rPr>
                <w:rFonts w:ascii="宋体" w:hAnsi="宋体"/>
                <w:szCs w:val="21"/>
              </w:rPr>
            </w:pPr>
            <w:r>
              <w:rPr>
                <w:rFonts w:ascii="宋体" w:hAnsi="宋体"/>
                <w:szCs w:val="21"/>
              </w:rPr>
              <w:t>注</w:t>
            </w:r>
            <w:r>
              <w:rPr>
                <w:rFonts w:hint="eastAsia" w:ascii="宋体" w:hAnsi="宋体"/>
                <w:szCs w:val="21"/>
              </w:rPr>
              <w:t>：本项目采用</w:t>
            </w:r>
            <w:r>
              <w:rPr>
                <w:rFonts w:ascii="宋体" w:hAnsi="宋体"/>
                <w:szCs w:val="21"/>
              </w:rPr>
              <w:t>评定</w:t>
            </w:r>
            <w:r>
              <w:rPr>
                <w:rFonts w:hint="eastAsia" w:ascii="宋体" w:hAnsi="宋体"/>
                <w:szCs w:val="21"/>
              </w:rPr>
              <w:t>结合方式，</w:t>
            </w:r>
            <w:r>
              <w:rPr>
                <w:rFonts w:ascii="宋体" w:hAnsi="宋体"/>
                <w:szCs w:val="21"/>
              </w:rPr>
              <w:t>无需选择定标方法</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9</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14.1</w:t>
            </w:r>
          </w:p>
        </w:tc>
        <w:tc>
          <w:tcPr>
            <w:tcW w:w="2241" w:type="dxa"/>
            <w:vAlign w:val="center"/>
          </w:tcPr>
          <w:p>
            <w:pPr>
              <w:rPr>
                <w:rFonts w:ascii="宋体" w:hAnsi="宋体"/>
                <w:bCs/>
                <w:szCs w:val="21"/>
              </w:rPr>
            </w:pPr>
            <w:r>
              <w:rPr>
                <w:rFonts w:hint="eastAsia" w:ascii="宋体" w:hAnsi="宋体"/>
                <w:bCs/>
                <w:szCs w:val="21"/>
              </w:rPr>
              <w:t>投标币种</w:t>
            </w:r>
          </w:p>
        </w:tc>
        <w:tc>
          <w:tcPr>
            <w:tcW w:w="5418" w:type="dxa"/>
            <w:vAlign w:val="center"/>
          </w:tcPr>
          <w:p>
            <w:pPr>
              <w:rPr>
                <w:rFonts w:ascii="宋体" w:hAnsi="宋体"/>
                <w:snapToGrid w:val="0"/>
                <w:kern w:val="0"/>
                <w:szCs w:val="21"/>
                <w:lang w:val="zh-CN"/>
              </w:rPr>
            </w:pPr>
            <w:r>
              <w:rPr>
                <w:rFonts w:hint="eastAsia" w:ascii="宋体" w:hAnsi="宋体"/>
                <w:snapToGrid w:val="0"/>
                <w:kern w:val="0"/>
                <w:szCs w:val="21"/>
                <w:lang w:val="zh-CN"/>
              </w:rPr>
              <w:t>人民币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10</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4.1</w:t>
            </w:r>
          </w:p>
        </w:tc>
        <w:tc>
          <w:tcPr>
            <w:tcW w:w="2241" w:type="dxa"/>
            <w:vAlign w:val="center"/>
          </w:tcPr>
          <w:p>
            <w:pPr>
              <w:rPr>
                <w:rFonts w:ascii="宋体" w:hAnsi="宋体"/>
                <w:szCs w:val="21"/>
              </w:rPr>
            </w:pPr>
            <w:r>
              <w:rPr>
                <w:rFonts w:hint="eastAsia" w:ascii="宋体" w:hAnsi="宋体"/>
                <w:szCs w:val="21"/>
              </w:rPr>
              <w:t>联合体投标</w:t>
            </w:r>
          </w:p>
        </w:tc>
        <w:tc>
          <w:tcPr>
            <w:tcW w:w="5418" w:type="dxa"/>
            <w:vAlign w:val="center"/>
          </w:tcPr>
          <w:p>
            <w:pPr>
              <w:rPr>
                <w:rFonts w:ascii="宋体" w:hAnsi="宋体"/>
                <w:snapToGrid w:val="0"/>
                <w:kern w:val="0"/>
                <w:szCs w:val="21"/>
                <w:lang w:val="zh-CN"/>
              </w:rPr>
            </w:pPr>
            <w:r>
              <w:rPr>
                <w:rFonts w:hint="eastAsia" w:ascii="宋体" w:hAnsi="宋体"/>
                <w:snapToGrid w:val="0"/>
                <w:kern w:val="0"/>
                <w:szCs w:val="21"/>
                <w:lang w:val="zh-CN"/>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11</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15.1</w:t>
            </w:r>
          </w:p>
        </w:tc>
        <w:tc>
          <w:tcPr>
            <w:tcW w:w="2241" w:type="dxa"/>
            <w:vAlign w:val="center"/>
          </w:tcPr>
          <w:p>
            <w:pPr>
              <w:rPr>
                <w:rFonts w:ascii="宋体" w:hAnsi="宋体"/>
                <w:szCs w:val="21"/>
              </w:rPr>
            </w:pPr>
            <w:r>
              <w:rPr>
                <w:rFonts w:hint="eastAsia" w:ascii="宋体" w:hAnsi="宋体"/>
                <w:szCs w:val="21"/>
              </w:rPr>
              <w:t>投标有效期</w:t>
            </w:r>
          </w:p>
        </w:tc>
        <w:tc>
          <w:tcPr>
            <w:tcW w:w="5418" w:type="dxa"/>
            <w:vAlign w:val="center"/>
          </w:tcPr>
          <w:p>
            <w:pPr>
              <w:rPr>
                <w:rFonts w:ascii="宋体" w:hAnsi="宋体"/>
                <w:szCs w:val="21"/>
              </w:rPr>
            </w:pPr>
            <w:r>
              <w:rPr>
                <w:rFonts w:hint="eastAsia" w:ascii="宋体" w:hAnsi="宋体" w:cs="Arial"/>
                <w:szCs w:val="21"/>
              </w:rPr>
              <w:t>120个日历天（从投标截止之日算起）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12</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16.1</w:t>
            </w:r>
          </w:p>
        </w:tc>
        <w:tc>
          <w:tcPr>
            <w:tcW w:w="2241" w:type="dxa"/>
            <w:vAlign w:val="center"/>
          </w:tcPr>
          <w:p>
            <w:pPr>
              <w:rPr>
                <w:rFonts w:ascii="宋体" w:hAnsi="宋体"/>
                <w:szCs w:val="21"/>
              </w:rPr>
            </w:pPr>
            <w:r>
              <w:rPr>
                <w:rFonts w:hint="eastAsia" w:ascii="宋体" w:hAnsi="宋体"/>
                <w:szCs w:val="21"/>
              </w:rPr>
              <w:t>投标人的替代方案</w:t>
            </w:r>
          </w:p>
        </w:tc>
        <w:tc>
          <w:tcPr>
            <w:tcW w:w="5418" w:type="dxa"/>
            <w:vAlign w:val="center"/>
          </w:tcPr>
          <w:p>
            <w:pPr>
              <w:rPr>
                <w:rFonts w:ascii="宋体" w:hAnsi="宋体"/>
                <w:szCs w:val="21"/>
              </w:rPr>
            </w:pPr>
            <w:r>
              <w:rPr>
                <w:rFonts w:hint="eastAsia" w:ascii="宋体" w:hAnsi="宋体"/>
                <w:szCs w:val="21"/>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13</w:t>
            </w:r>
          </w:p>
        </w:tc>
        <w:tc>
          <w:tcPr>
            <w:tcW w:w="958" w:type="dxa"/>
            <w:tcBorders>
              <w:left w:val="single" w:color="auto" w:sz="4" w:space="0"/>
            </w:tcBorders>
            <w:vAlign w:val="center"/>
          </w:tcPr>
          <w:p>
            <w:pPr>
              <w:jc w:val="center"/>
              <w:rPr>
                <w:rFonts w:ascii="宋体" w:hAnsi="宋体"/>
                <w:szCs w:val="21"/>
              </w:rPr>
            </w:pPr>
          </w:p>
        </w:tc>
        <w:tc>
          <w:tcPr>
            <w:tcW w:w="2241" w:type="dxa"/>
            <w:vAlign w:val="center"/>
          </w:tcPr>
          <w:p>
            <w:pPr>
              <w:rPr>
                <w:rFonts w:ascii="宋体" w:hAnsi="宋体"/>
                <w:szCs w:val="21"/>
              </w:rPr>
            </w:pPr>
            <w:r>
              <w:rPr>
                <w:rFonts w:hint="eastAsia" w:ascii="宋体" w:hAnsi="宋体"/>
                <w:szCs w:val="21"/>
              </w:rPr>
              <w:t>购买标书时间地点</w:t>
            </w:r>
          </w:p>
        </w:tc>
        <w:tc>
          <w:tcPr>
            <w:tcW w:w="5418" w:type="dxa"/>
            <w:vAlign w:val="center"/>
          </w:tcPr>
          <w:p>
            <w:pPr>
              <w:rPr>
                <w:rFonts w:ascii="宋体" w:hAnsi="宋体"/>
                <w:szCs w:val="21"/>
              </w:rPr>
            </w:pPr>
            <w:r>
              <w:rPr>
                <w:rFonts w:hint="eastAsia" w:ascii="宋体" w:hAnsi="宋体"/>
                <w:szCs w:val="21"/>
              </w:rPr>
              <w:t>详见招标公告中相关内容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14</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6.1</w:t>
            </w:r>
          </w:p>
        </w:tc>
        <w:tc>
          <w:tcPr>
            <w:tcW w:w="2241" w:type="dxa"/>
            <w:vAlign w:val="center"/>
          </w:tcPr>
          <w:p>
            <w:pPr>
              <w:rPr>
                <w:rFonts w:ascii="宋体" w:hAnsi="宋体"/>
                <w:szCs w:val="21"/>
              </w:rPr>
            </w:pPr>
            <w:r>
              <w:rPr>
                <w:rFonts w:hint="eastAsia" w:ascii="宋体" w:hAnsi="宋体"/>
                <w:szCs w:val="21"/>
              </w:rPr>
              <w:t>现场踏勘</w:t>
            </w:r>
          </w:p>
        </w:tc>
        <w:tc>
          <w:tcPr>
            <w:tcW w:w="5418" w:type="dxa"/>
            <w:vAlign w:val="center"/>
          </w:tcPr>
          <w:p>
            <w:pPr>
              <w:pStyle w:val="75"/>
              <w:tabs>
                <w:tab w:val="left" w:pos="1260"/>
              </w:tabs>
              <w:spacing w:line="240" w:lineRule="auto"/>
              <w:jc w:val="both"/>
              <w:rPr>
                <w:b w:val="0"/>
                <w:sz w:val="21"/>
                <w:szCs w:val="21"/>
              </w:rPr>
            </w:pPr>
            <w:r>
              <w:rPr>
                <w:rFonts w:hint="eastAsia"/>
                <w:b w:val="0"/>
                <w:sz w:val="21"/>
                <w:szCs w:val="21"/>
              </w:rPr>
              <w:t>本项目是否组织供应商进行现场踏勘： 口是 ■否</w:t>
            </w:r>
          </w:p>
          <w:p>
            <w:pPr>
              <w:rPr>
                <w:rFonts w:ascii="宋体" w:hAnsi="宋体"/>
                <w:szCs w:val="21"/>
              </w:rPr>
            </w:pPr>
            <w:r>
              <w:rPr>
                <w:rFonts w:hint="eastAsia" w:ascii="宋体" w:hAnsi="宋体"/>
                <w:szCs w:val="21"/>
              </w:rPr>
              <w:t>时间、地址、联系人、联系方式等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15</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7.1</w:t>
            </w:r>
          </w:p>
        </w:tc>
        <w:tc>
          <w:tcPr>
            <w:tcW w:w="2241" w:type="dxa"/>
            <w:vAlign w:val="center"/>
          </w:tcPr>
          <w:p>
            <w:pPr>
              <w:rPr>
                <w:rFonts w:ascii="宋体" w:hAnsi="宋体"/>
                <w:szCs w:val="21"/>
              </w:rPr>
            </w:pPr>
            <w:r>
              <w:rPr>
                <w:rFonts w:hint="eastAsia" w:ascii="宋体" w:hAnsi="宋体"/>
                <w:szCs w:val="21"/>
              </w:rPr>
              <w:t>现场答疑会</w:t>
            </w:r>
          </w:p>
        </w:tc>
        <w:tc>
          <w:tcPr>
            <w:tcW w:w="5418" w:type="dxa"/>
            <w:vAlign w:val="center"/>
          </w:tcPr>
          <w:p>
            <w:pPr>
              <w:rPr>
                <w:rFonts w:ascii="宋体" w:hAnsi="宋体"/>
                <w:szCs w:val="21"/>
              </w:rPr>
            </w:pPr>
            <w:r>
              <w:rPr>
                <w:rFonts w:hint="eastAsia" w:ascii="宋体" w:hAnsi="宋体"/>
                <w:szCs w:val="21"/>
              </w:rPr>
              <w:t>本项目不安排现场答疑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16</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7.1</w:t>
            </w:r>
          </w:p>
        </w:tc>
        <w:tc>
          <w:tcPr>
            <w:tcW w:w="2241" w:type="dxa"/>
            <w:vAlign w:val="center"/>
          </w:tcPr>
          <w:p>
            <w:pPr>
              <w:rPr>
                <w:rFonts w:ascii="宋体" w:hAnsi="宋体"/>
                <w:szCs w:val="21"/>
              </w:rPr>
            </w:pPr>
            <w:r>
              <w:rPr>
                <w:rFonts w:hint="eastAsia" w:ascii="宋体" w:hAnsi="宋体"/>
                <w:szCs w:val="21"/>
              </w:rPr>
              <w:t>采购人对招标文件的澄清或修改、答疑的期限</w:t>
            </w:r>
          </w:p>
        </w:tc>
        <w:tc>
          <w:tcPr>
            <w:tcW w:w="5418" w:type="dxa"/>
            <w:vAlign w:val="center"/>
          </w:tcPr>
          <w:p>
            <w:pPr>
              <w:rPr>
                <w:rFonts w:ascii="宋体" w:hAnsi="宋体"/>
                <w:szCs w:val="21"/>
              </w:rPr>
            </w:pPr>
            <w:r>
              <w:rPr>
                <w:rFonts w:hint="eastAsia" w:ascii="宋体" w:hAnsi="宋体"/>
                <w:szCs w:val="21"/>
              </w:rPr>
              <w:t>投标人有义务在招标期间上网浏览有关本项目的补充公告等信息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17</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18.1</w:t>
            </w:r>
          </w:p>
        </w:tc>
        <w:tc>
          <w:tcPr>
            <w:tcW w:w="2241" w:type="dxa"/>
            <w:vAlign w:val="center"/>
          </w:tcPr>
          <w:p>
            <w:pPr>
              <w:rPr>
                <w:rFonts w:ascii="宋体" w:hAnsi="宋体"/>
                <w:szCs w:val="21"/>
              </w:rPr>
            </w:pPr>
            <w:r>
              <w:rPr>
                <w:rFonts w:hint="eastAsia" w:ascii="宋体" w:hAnsi="宋体"/>
                <w:szCs w:val="21"/>
              </w:rPr>
              <w:t>投标文件的投递地址</w:t>
            </w:r>
          </w:p>
        </w:tc>
        <w:tc>
          <w:tcPr>
            <w:tcW w:w="5418" w:type="dxa"/>
            <w:vAlign w:val="center"/>
          </w:tcPr>
          <w:p>
            <w:pPr>
              <w:rPr>
                <w:rFonts w:ascii="宋体" w:hAnsi="宋体"/>
                <w:szCs w:val="21"/>
              </w:rPr>
            </w:pPr>
            <w:r>
              <w:rPr>
                <w:rFonts w:hint="eastAsia" w:ascii="宋体" w:hAnsi="宋体"/>
                <w:szCs w:val="21"/>
              </w:rPr>
              <w:t>深圳市福田区福田体育公园西北角友和招标代理服务中心（靠近北门）会议室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18</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18.2</w:t>
            </w:r>
          </w:p>
        </w:tc>
        <w:tc>
          <w:tcPr>
            <w:tcW w:w="2241" w:type="dxa"/>
            <w:vAlign w:val="center"/>
          </w:tcPr>
          <w:p>
            <w:pPr>
              <w:rPr>
                <w:rFonts w:ascii="宋体" w:hAnsi="宋体"/>
                <w:szCs w:val="21"/>
              </w:rPr>
            </w:pPr>
            <w:r>
              <w:rPr>
                <w:rFonts w:hint="eastAsia" w:ascii="宋体" w:hAnsi="宋体"/>
                <w:szCs w:val="21"/>
              </w:rPr>
              <w:t>投标截止时间</w:t>
            </w:r>
          </w:p>
        </w:tc>
        <w:tc>
          <w:tcPr>
            <w:tcW w:w="5418" w:type="dxa"/>
            <w:vAlign w:val="center"/>
          </w:tcPr>
          <w:p>
            <w:pPr>
              <w:rPr>
                <w:rFonts w:ascii="宋体" w:hAnsi="宋体"/>
                <w:szCs w:val="21"/>
              </w:rPr>
            </w:pPr>
            <w:r>
              <w:rPr>
                <w:rFonts w:hint="eastAsia" w:ascii="宋体" w:hAnsi="宋体"/>
                <w:szCs w:val="21"/>
              </w:rPr>
              <w:t>详见招标公告中相关内容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19</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20.1</w:t>
            </w:r>
          </w:p>
        </w:tc>
        <w:tc>
          <w:tcPr>
            <w:tcW w:w="2241" w:type="dxa"/>
            <w:vAlign w:val="center"/>
          </w:tcPr>
          <w:p>
            <w:pPr>
              <w:rPr>
                <w:rFonts w:ascii="宋体" w:hAnsi="宋体"/>
                <w:szCs w:val="21"/>
              </w:rPr>
            </w:pPr>
            <w:r>
              <w:rPr>
                <w:rFonts w:hint="eastAsia" w:ascii="宋体" w:hAnsi="宋体"/>
                <w:szCs w:val="21"/>
              </w:rPr>
              <w:t>开标时间和地点</w:t>
            </w:r>
          </w:p>
        </w:tc>
        <w:tc>
          <w:tcPr>
            <w:tcW w:w="5418" w:type="dxa"/>
            <w:vAlign w:val="center"/>
          </w:tcPr>
          <w:p>
            <w:pPr>
              <w:rPr>
                <w:rFonts w:ascii="宋体" w:hAnsi="宋体"/>
                <w:szCs w:val="21"/>
              </w:rPr>
            </w:pPr>
            <w:r>
              <w:rPr>
                <w:rFonts w:hint="eastAsia" w:ascii="宋体" w:hAnsi="宋体"/>
                <w:szCs w:val="21"/>
              </w:rPr>
              <w:t>详见招标公告中相关内容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20</w:t>
            </w:r>
          </w:p>
        </w:tc>
        <w:tc>
          <w:tcPr>
            <w:tcW w:w="958" w:type="dxa"/>
            <w:tcBorders>
              <w:left w:val="single" w:color="auto" w:sz="4" w:space="0"/>
            </w:tcBorders>
            <w:vAlign w:val="center"/>
          </w:tcPr>
          <w:p>
            <w:pPr>
              <w:jc w:val="center"/>
              <w:rPr>
                <w:rFonts w:ascii="宋体" w:hAnsi="宋体"/>
                <w:szCs w:val="21"/>
              </w:rPr>
            </w:pPr>
            <w:r>
              <w:rPr>
                <w:rFonts w:hint="eastAsia" w:ascii="宋体" w:hAnsi="宋体"/>
                <w:szCs w:val="21"/>
              </w:rPr>
              <w:t>39.1</w:t>
            </w:r>
          </w:p>
        </w:tc>
        <w:tc>
          <w:tcPr>
            <w:tcW w:w="2241" w:type="dxa"/>
            <w:vAlign w:val="center"/>
          </w:tcPr>
          <w:p>
            <w:pPr>
              <w:rPr>
                <w:rFonts w:ascii="宋体" w:hAnsi="宋体"/>
                <w:szCs w:val="21"/>
              </w:rPr>
            </w:pPr>
            <w:r>
              <w:rPr>
                <w:rFonts w:hint="eastAsia" w:ascii="宋体" w:hAnsi="宋体"/>
                <w:szCs w:val="21"/>
              </w:rPr>
              <w:t>履约担保金额</w:t>
            </w:r>
          </w:p>
        </w:tc>
        <w:tc>
          <w:tcPr>
            <w:tcW w:w="5418" w:type="dxa"/>
            <w:vAlign w:val="center"/>
          </w:tcPr>
          <w:p>
            <w:pPr>
              <w:rPr>
                <w:rFonts w:ascii="宋体" w:hAnsi="宋体"/>
                <w:szCs w:val="21"/>
              </w:rPr>
            </w:pPr>
            <w:r>
              <w:rPr>
                <w:rFonts w:hint="eastAsia" w:ascii="宋体" w:hAnsi="宋体"/>
                <w:szCs w:val="21"/>
              </w:rPr>
              <w:t>以双方订立合同所规定的金额为准，向采购单位缴纳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pPr>
              <w:jc w:val="center"/>
              <w:rPr>
                <w:rFonts w:ascii="宋体" w:hAnsi="宋体"/>
                <w:szCs w:val="21"/>
              </w:rPr>
            </w:pPr>
            <w:r>
              <w:rPr>
                <w:rFonts w:hint="eastAsia" w:ascii="宋体" w:hAnsi="宋体"/>
                <w:szCs w:val="21"/>
              </w:rPr>
              <w:t>21</w:t>
            </w:r>
          </w:p>
        </w:tc>
        <w:tc>
          <w:tcPr>
            <w:tcW w:w="958" w:type="dxa"/>
            <w:tcBorders>
              <w:left w:val="single" w:color="auto" w:sz="4" w:space="0"/>
            </w:tcBorders>
            <w:vAlign w:val="center"/>
          </w:tcPr>
          <w:p>
            <w:pPr>
              <w:jc w:val="center"/>
              <w:rPr>
                <w:rFonts w:ascii="宋体" w:hAnsi="宋体"/>
                <w:szCs w:val="21"/>
              </w:rPr>
            </w:pPr>
          </w:p>
        </w:tc>
        <w:tc>
          <w:tcPr>
            <w:tcW w:w="2241" w:type="dxa"/>
            <w:vAlign w:val="center"/>
          </w:tcPr>
          <w:p>
            <w:pPr>
              <w:rPr>
                <w:rFonts w:ascii="宋体" w:hAnsi="宋体"/>
                <w:szCs w:val="21"/>
              </w:rPr>
            </w:pPr>
            <w:r>
              <w:rPr>
                <w:rFonts w:hint="eastAsia" w:ascii="宋体" w:hAnsi="宋体"/>
              </w:rPr>
              <w:t>中标候选人</w:t>
            </w:r>
          </w:p>
        </w:tc>
        <w:tc>
          <w:tcPr>
            <w:tcW w:w="5418" w:type="dxa"/>
            <w:vAlign w:val="center"/>
          </w:tcPr>
          <w:p>
            <w:pPr>
              <w:rPr>
                <w:rFonts w:ascii="宋体" w:hAnsi="宋体"/>
                <w:szCs w:val="21"/>
              </w:rPr>
            </w:pPr>
            <w:r>
              <w:rPr>
                <w:rFonts w:ascii="宋体" w:hAnsi="宋体"/>
              </w:rPr>
              <w:t xml:space="preserve">评标委员会推荐排名前三的投标人分别作为第一、第二、第三中标候选人，其中第一中标候选人为首选的中标人。若出现第一中标候选人放弃中标资格或其中标资格被依法确认无效的，则第二中标候选人可为新的中标人，以此类推。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280" w:type="dxa"/>
            <w:gridSpan w:val="4"/>
            <w:vAlign w:val="center"/>
          </w:tcPr>
          <w:p>
            <w:pPr>
              <w:rPr>
                <w:rFonts w:ascii="宋体" w:hAnsi="宋体"/>
                <w:szCs w:val="21"/>
              </w:rPr>
            </w:pPr>
            <w:r>
              <w:rPr>
                <w:rFonts w:hint="eastAsia" w:ascii="宋体" w:hAnsi="宋体"/>
                <w:szCs w:val="21"/>
              </w:rPr>
              <w:t>注：如“第一册 通用条款”与“第二册第三章 招标项目需求”的内容不一致的，以第二册第三章所述内容为准。</w:t>
            </w:r>
          </w:p>
        </w:tc>
      </w:tr>
    </w:tbl>
    <w:p/>
    <w:p>
      <w:pPr>
        <w:pStyle w:val="6"/>
        <w:jc w:val="center"/>
        <w:rPr>
          <w:sz w:val="28"/>
          <w:szCs w:val="28"/>
        </w:rPr>
      </w:pPr>
      <w:r>
        <w:rPr>
          <w:rFonts w:ascii="黑体"/>
          <w:b w:val="0"/>
          <w:sz w:val="28"/>
          <w:szCs w:val="28"/>
        </w:rPr>
        <w:br w:type="page"/>
      </w:r>
      <w:bookmarkStart w:id="244" w:name="_Toc299"/>
      <w:r>
        <w:rPr>
          <w:rFonts w:hint="eastAsia" w:ascii="黑体"/>
          <w:sz w:val="28"/>
          <w:szCs w:val="28"/>
        </w:rPr>
        <w:t>表二、投标文件初审表</w:t>
      </w:r>
      <w:bookmarkEnd w:id="244"/>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7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序号</w:t>
            </w:r>
          </w:p>
        </w:tc>
        <w:tc>
          <w:tcPr>
            <w:tcW w:w="754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投标人不具备招标资质要求，或未提交相应资格证明材料</w:t>
            </w:r>
            <w:r>
              <w:rPr>
                <w:rFonts w:asciiTheme="minorEastAsia" w:hAnsiTheme="minorEastAsia" w:eastAsiaTheme="minorEastAsia"/>
              </w:rPr>
              <w:t>(</w:t>
            </w:r>
            <w:r>
              <w:rPr>
                <w:rFonts w:hint="eastAsia" w:asciiTheme="minorEastAsia" w:hAnsiTheme="minorEastAsia" w:eastAsiaTheme="minorEastAsia"/>
              </w:rPr>
              <w:t>详见招标公告投标人资质要求，其中未列示的资质要求不得导致投标无效</w:t>
            </w:r>
            <w:r>
              <w:rPr>
                <w:rFonts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投标人</w:t>
            </w:r>
            <w:r>
              <w:rPr>
                <w:rFonts w:hint="eastAsia"/>
              </w:rPr>
              <w:t>未按招标公告要求</w:t>
            </w:r>
            <w:r>
              <w:rPr>
                <w:rFonts w:hint="eastAsia" w:ascii="Courier New" w:hAnsi="Courier New" w:cs="Courier New"/>
                <w:kern w:val="0"/>
                <w:szCs w:val="21"/>
              </w:rPr>
              <w:t>完成投标报名的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rPr>
            </w:pPr>
            <w:r>
              <w:rPr>
                <w:rFonts w:hint="eastAsia" w:asciiTheme="minorEastAsia" w:hAnsiTheme="minorEastAsia" w:eastAsiaTheme="minorEastAsia"/>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序号</w:t>
            </w:r>
          </w:p>
        </w:tc>
        <w:tc>
          <w:tcPr>
            <w:tcW w:w="754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szCs w:val="21"/>
              </w:rPr>
              <w:t>分项报价或投标总价高于预算金额（最高投标限价）的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未按招标文件附件所提供的样式和要求完整填写投标文件或投标文件组成部分不符合</w:t>
            </w:r>
            <w:r>
              <w:rPr>
                <w:rFonts w:hint="eastAsia" w:ascii="宋体" w:hAnsi="宋体"/>
                <w:szCs w:val="21"/>
              </w:rPr>
              <w:t>通用条款第18.1款规定的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szCs w:val="21"/>
              </w:rPr>
              <w:t>对招标文件中带</w:t>
            </w:r>
            <w:r>
              <w:rPr>
                <w:rFonts w:hint="eastAsia" w:ascii="宋体" w:hAnsi="宋体" w:cs="宋体"/>
                <w:szCs w:val="21"/>
              </w:rPr>
              <w:t>★</w:t>
            </w:r>
            <w:r>
              <w:rPr>
                <w:szCs w:val="21"/>
              </w:rPr>
              <w:t>号条款的响应存在负偏离的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10</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未按招标文件要求填写《</w:t>
            </w:r>
            <w:r>
              <w:rPr>
                <w:rFonts w:hint="eastAsia"/>
              </w:rPr>
              <w:t>服务条款偏离表</w:t>
            </w:r>
            <w:r>
              <w:rPr>
                <w:rFonts w:hint="eastAsia" w:ascii="宋体" w:hAnsi="宋体"/>
                <w:color w:val="000000" w:themeColor="text1"/>
                <w14:textFill>
                  <w14:solidFill>
                    <w14:schemeClr w14:val="tx1"/>
                  </w14:solidFill>
                </w14:textFill>
              </w:rPr>
              <w:t>》或《商务条款偏离表》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w:t>
            </w:r>
          </w:p>
        </w:tc>
        <w:tc>
          <w:tcPr>
            <w:tcW w:w="75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法律、法规规定的其他情形</w:t>
            </w:r>
          </w:p>
        </w:tc>
      </w:tr>
    </w:tbl>
    <w:p>
      <w:pPr>
        <w:widowControl/>
        <w:jc w:val="center"/>
        <w:rPr>
          <w:rFonts w:eastAsia="黑体"/>
          <w:b/>
          <w:sz w:val="30"/>
          <w:szCs w:val="30"/>
        </w:rPr>
      </w:pPr>
    </w:p>
    <w:p>
      <w:pPr>
        <w:widowControl/>
        <w:jc w:val="center"/>
        <w:rPr>
          <w:rFonts w:eastAsia="黑体"/>
          <w:b/>
          <w:sz w:val="30"/>
          <w:szCs w:val="30"/>
        </w:rPr>
      </w:pPr>
    </w:p>
    <w:p>
      <w:pPr>
        <w:widowControl/>
        <w:jc w:val="center"/>
        <w:rPr>
          <w:rFonts w:eastAsia="黑体"/>
          <w:b/>
          <w:sz w:val="30"/>
          <w:szCs w:val="30"/>
        </w:rPr>
      </w:pPr>
    </w:p>
    <w:p>
      <w:pPr>
        <w:widowControl/>
        <w:jc w:val="center"/>
        <w:rPr>
          <w:rFonts w:eastAsia="黑体"/>
          <w:b/>
          <w:sz w:val="30"/>
          <w:szCs w:val="30"/>
        </w:rPr>
      </w:pPr>
    </w:p>
    <w:p>
      <w:pPr>
        <w:widowControl/>
        <w:jc w:val="center"/>
        <w:rPr>
          <w:rFonts w:eastAsia="黑体"/>
          <w:b/>
          <w:sz w:val="30"/>
          <w:szCs w:val="30"/>
        </w:rPr>
      </w:pPr>
    </w:p>
    <w:p>
      <w:pPr>
        <w:widowControl/>
        <w:jc w:val="center"/>
        <w:rPr>
          <w:rFonts w:eastAsia="黑体"/>
          <w:b/>
          <w:sz w:val="30"/>
          <w:szCs w:val="30"/>
        </w:rPr>
      </w:pPr>
    </w:p>
    <w:p>
      <w:pPr>
        <w:widowControl/>
        <w:jc w:val="center"/>
        <w:rPr>
          <w:rFonts w:eastAsia="黑体"/>
          <w:b/>
          <w:sz w:val="30"/>
          <w:szCs w:val="30"/>
        </w:rPr>
      </w:pPr>
    </w:p>
    <w:p>
      <w:pPr>
        <w:pStyle w:val="6"/>
        <w:jc w:val="center"/>
        <w:rPr>
          <w:rFonts w:ascii="黑体"/>
          <w:sz w:val="28"/>
          <w:szCs w:val="28"/>
        </w:rPr>
      </w:pPr>
      <w:bookmarkStart w:id="245" w:name="_Toc12489"/>
      <w:r>
        <w:rPr>
          <w:rFonts w:hint="eastAsia" w:ascii="黑体"/>
          <w:sz w:val="28"/>
          <w:szCs w:val="28"/>
        </w:rPr>
        <w:t>表三、评标信息</w:t>
      </w:r>
      <w:bookmarkEnd w:id="245"/>
    </w:p>
    <w:p>
      <w:pPr>
        <w:ind w:firstLine="420" w:firstLineChars="200"/>
        <w:rPr>
          <w:rFonts w:ascii="宋体" w:hAnsi="宋体"/>
          <w:color w:val="00B050"/>
          <w:szCs w:val="21"/>
        </w:rPr>
      </w:pPr>
      <w:r>
        <w:rPr>
          <w:rFonts w:hint="eastAsia" w:ascii="宋体" w:hAnsi="宋体"/>
          <w:color w:val="00B050"/>
          <w:szCs w:val="21"/>
        </w:rPr>
        <w:t>本次评标采用综合评分法的，评标结果按评审后得分由高到低顺序排列。评标委员会推荐排名前三的投标人分别作为第一、第二、第三中标候选人，其中第一中标候选人为首选的中标人。若出现第一中标候选人放弃中标资格或其中标资格被依法确认无效的，则第二中标候选人为新的中标人，以此类推。得分相同的，按投标报价由低到高顺序排列。得分且投标报价相同的并列。投标文件满足招标文件全部实质性要求，且按技术部分得分最高的投标人为排名第一的为第一中标候选人。</w:t>
      </w:r>
    </w:p>
    <w:p>
      <w:pPr>
        <w:ind w:firstLine="420" w:firstLineChars="200"/>
        <w:rPr>
          <w:rFonts w:ascii="宋体" w:hAnsi="宋体"/>
          <w:color w:val="00B050"/>
          <w:szCs w:val="21"/>
        </w:rPr>
      </w:pPr>
      <w:r>
        <w:rPr>
          <w:rFonts w:hint="eastAsia" w:ascii="宋体" w:hAnsi="宋体"/>
          <w:color w:val="00B050"/>
          <w:szCs w:val="21"/>
        </w:rPr>
        <w:t>评审委员会对每个通过资格性检查和符合性检查且报价不超过最高限价的投标人进行评审、打分，然后汇总每个投标人每项评分因素的评分。</w:t>
      </w:r>
    </w:p>
    <w:p>
      <w:pPr>
        <w:ind w:firstLine="420" w:firstLineChars="200"/>
        <w:rPr>
          <w:rFonts w:ascii="宋体" w:hAnsi="宋体"/>
          <w:color w:val="00B050"/>
          <w:szCs w:val="21"/>
        </w:rPr>
      </w:pPr>
      <w:r>
        <w:rPr>
          <w:rFonts w:hint="eastAsia" w:ascii="宋体" w:hAnsi="宋体"/>
          <w:color w:val="00B050"/>
          <w:szCs w:val="21"/>
        </w:rPr>
        <w:t>评委会在评标时，按照以下量化的评审因素，对进入该阶段评审的各投标文件进行分析和比较：详见《评分细则表》</w:t>
      </w:r>
    </w:p>
    <w:p>
      <w:pPr>
        <w:spacing w:before="156" w:beforeLines="50" w:after="156" w:afterLines="50"/>
        <w:ind w:firstLine="413" w:firstLineChars="196"/>
        <w:jc w:val="center"/>
        <w:rPr>
          <w:rFonts w:ascii="宋体" w:hAnsi="宋体"/>
          <w:b/>
          <w:bCs/>
          <w:szCs w:val="21"/>
        </w:rPr>
      </w:pPr>
      <w:r>
        <w:rPr>
          <w:rFonts w:hint="eastAsia" w:ascii="宋体" w:hAnsi="宋体"/>
          <w:b/>
          <w:bCs/>
          <w:szCs w:val="21"/>
        </w:rPr>
        <w:t>评分细则表</w:t>
      </w:r>
    </w:p>
    <w:tbl>
      <w:tblPr>
        <w:tblStyle w:val="43"/>
        <w:tblW w:w="9310" w:type="dxa"/>
        <w:jc w:val="center"/>
        <w:tblCellSpacing w:w="0" w:type="dxa"/>
        <w:tblLayout w:type="fixed"/>
        <w:tblCellMar>
          <w:top w:w="45" w:type="dxa"/>
          <w:left w:w="45" w:type="dxa"/>
          <w:bottom w:w="45" w:type="dxa"/>
          <w:right w:w="45" w:type="dxa"/>
        </w:tblCellMar>
      </w:tblPr>
      <w:tblGrid>
        <w:gridCol w:w="275"/>
        <w:gridCol w:w="680"/>
        <w:gridCol w:w="680"/>
        <w:gridCol w:w="2835"/>
        <w:gridCol w:w="681"/>
        <w:gridCol w:w="3679"/>
        <w:gridCol w:w="242"/>
        <w:gridCol w:w="238"/>
      </w:tblGrid>
      <w:tr>
        <w:tblPrEx>
          <w:tblCellMar>
            <w:top w:w="45" w:type="dxa"/>
            <w:left w:w="45" w:type="dxa"/>
            <w:bottom w:w="45" w:type="dxa"/>
            <w:right w:w="45" w:type="dxa"/>
          </w:tblCellMar>
        </w:tblPrEx>
        <w:trPr>
          <w:gridAfter w:val="1"/>
          <w:wAfter w:w="238" w:type="dxa"/>
          <w:tblCellSpacing w:w="0" w:type="dxa"/>
          <w:jc w:val="center"/>
        </w:trPr>
        <w:tc>
          <w:tcPr>
            <w:tcW w:w="8830" w:type="dxa"/>
            <w:gridSpan w:val="6"/>
            <w:tcBorders>
              <w:top w:val="nil"/>
              <w:left w:val="nil"/>
              <w:bottom w:val="nil"/>
              <w:right w:val="nil"/>
            </w:tcBorders>
            <w:vAlign w:val="center"/>
          </w:tcPr>
          <w:p>
            <w:pPr>
              <w:rPr>
                <w:rFonts w:ascii="宋体" w:hAnsi="宋体" w:cs="宋体"/>
                <w:b/>
                <w:bCs/>
                <w:sz w:val="24"/>
              </w:rPr>
            </w:pPr>
            <w:r>
              <w:rPr>
                <w:b/>
                <w:bCs/>
              </w:rPr>
              <w:t>评标方法：综合评分法（新价格分算法）</w:t>
            </w:r>
          </w:p>
        </w:tc>
        <w:tc>
          <w:tcPr>
            <w:tcW w:w="242" w:type="dxa"/>
            <w:tcBorders>
              <w:top w:val="nil"/>
              <w:left w:val="nil"/>
              <w:bottom w:val="nil"/>
              <w:right w:val="nil"/>
            </w:tcBorders>
            <w:vAlign w:val="center"/>
          </w:tcPr>
          <w:p>
            <w:pPr>
              <w:jc w:val="right"/>
              <w:rPr>
                <w:rFonts w:ascii="宋体" w:hAnsi="宋体" w:cs="宋体"/>
                <w:b/>
                <w:bCs/>
                <w:sz w:val="24"/>
              </w:rPr>
            </w:pPr>
          </w:p>
        </w:tc>
      </w:tr>
      <w:tr>
        <w:tblPrEx>
          <w:tblCellMar>
            <w:top w:w="45" w:type="dxa"/>
            <w:left w:w="45" w:type="dxa"/>
            <w:bottom w:w="45" w:type="dxa"/>
            <w:right w:w="45" w:type="dxa"/>
          </w:tblCellMar>
        </w:tblPrEx>
        <w:trPr>
          <w:gridAfter w:val="1"/>
          <w:wAfter w:w="238" w:type="dxa"/>
          <w:tblCellSpacing w:w="0" w:type="dxa"/>
          <w:jc w:val="center"/>
        </w:trPr>
        <w:tc>
          <w:tcPr>
            <w:tcW w:w="9072" w:type="dxa"/>
            <w:gridSpan w:val="7"/>
            <w:tcBorders>
              <w:top w:val="nil"/>
              <w:left w:val="nil"/>
              <w:bottom w:val="nil"/>
              <w:right w:val="nil"/>
            </w:tcBorders>
            <w:vAlign w:val="center"/>
          </w:tcPr>
          <w:p>
            <w:pPr>
              <w:pStyle w:val="38"/>
              <w:spacing w:line="324" w:lineRule="auto"/>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38"/>
              <w:ind w:firstLine="420"/>
              <w:rPr>
                <w:sz w:val="21"/>
                <w:szCs w:val="21"/>
              </w:rPr>
            </w:pPr>
            <w:r>
              <w:rPr>
                <w:sz w:val="21"/>
                <w:szCs w:val="21"/>
              </w:rPr>
              <w:t>价格分计算方法：</w:t>
            </w:r>
          </w:p>
          <w:p>
            <w:pPr>
              <w:pStyle w:val="38"/>
              <w:spacing w:before="0" w:beforeAutospacing="0" w:after="0" w:afterAutospacing="0" w:line="324" w:lineRule="auto"/>
              <w:ind w:left="420"/>
              <w:rPr>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 xml:space="preserve">评标过程中，不得去掉报价中的最高报价和最低报价。 </w:t>
            </w:r>
            <w:r>
              <w:rPr>
                <w:sz w:val="21"/>
                <w:szCs w:val="21"/>
              </w:rPr>
              <w:br w:type="textWrapping"/>
            </w:r>
            <w:r>
              <w:rPr>
                <w:sz w:val="21"/>
                <w:szCs w:val="21"/>
              </w:rPr>
              <w:t xml:space="preserve">此方法适用于货物类、服务类、工程类项目。 </w:t>
            </w:r>
          </w:p>
          <w:p>
            <w:pPr>
              <w:pStyle w:val="38"/>
              <w:spacing w:before="0" w:beforeAutospacing="0" w:after="0" w:afterAutospacing="0" w:line="324" w:lineRule="auto"/>
              <w:ind w:left="420"/>
              <w:rPr>
                <w:b/>
                <w:sz w:val="21"/>
                <w:szCs w:val="21"/>
              </w:rPr>
            </w:pPr>
            <w:r>
              <w:rPr>
                <w:b/>
                <w:sz w:val="21"/>
                <w:szCs w:val="21"/>
              </w:rPr>
              <w:t>本项目为非专门面向中小企业的项目，用扣除后的价格参与评审，本项目的扣除比例为：</w:t>
            </w:r>
          </w:p>
          <w:p>
            <w:pPr>
              <w:pStyle w:val="38"/>
              <w:spacing w:before="0" w:beforeAutospacing="0" w:after="0" w:afterAutospacing="0" w:line="324" w:lineRule="auto"/>
              <w:ind w:left="420"/>
              <w:rPr>
                <w:b/>
                <w:sz w:val="21"/>
                <w:szCs w:val="21"/>
              </w:rPr>
            </w:pPr>
            <w:r>
              <w:rPr>
                <w:rFonts w:hint="eastAsia"/>
                <w:b/>
                <w:sz w:val="21"/>
                <w:szCs w:val="21"/>
              </w:rPr>
              <w:t>1.</w:t>
            </w:r>
            <w:r>
              <w:rPr>
                <w:b/>
                <w:sz w:val="21"/>
                <w:szCs w:val="21"/>
              </w:rPr>
              <w:t>小型企业、微型企业、监狱企业和残疾人福利性单位均</w:t>
            </w:r>
            <w:r>
              <w:rPr>
                <w:rFonts w:hint="eastAsia"/>
                <w:b/>
                <w:sz w:val="21"/>
                <w:szCs w:val="21"/>
              </w:rPr>
              <w:t>给予</w:t>
            </w:r>
            <w:r>
              <w:rPr>
                <w:rFonts w:hint="eastAsia"/>
                <w:b/>
                <w:color w:val="FF0000"/>
                <w:sz w:val="21"/>
                <w:szCs w:val="21"/>
              </w:rPr>
              <w:t>10</w:t>
            </w:r>
            <w:r>
              <w:rPr>
                <w:b/>
                <w:color w:val="FF0000"/>
                <w:sz w:val="21"/>
                <w:szCs w:val="21"/>
              </w:rPr>
              <w:t>%</w:t>
            </w:r>
            <w:r>
              <w:rPr>
                <w:rFonts w:hint="eastAsia"/>
                <w:b/>
                <w:sz w:val="21"/>
                <w:szCs w:val="21"/>
              </w:rPr>
              <w:t>的</w:t>
            </w:r>
            <w:r>
              <w:rPr>
                <w:b/>
                <w:sz w:val="21"/>
                <w:szCs w:val="21"/>
              </w:rPr>
              <w:t>扣除。</w:t>
            </w:r>
          </w:p>
          <w:p>
            <w:pPr>
              <w:pStyle w:val="38"/>
              <w:spacing w:before="0" w:beforeAutospacing="0" w:after="0" w:afterAutospacing="0" w:line="324" w:lineRule="auto"/>
              <w:ind w:left="420"/>
              <w:rPr>
                <w:b/>
                <w:sz w:val="21"/>
                <w:szCs w:val="21"/>
              </w:rPr>
            </w:pPr>
            <w:r>
              <w:rPr>
                <w:rFonts w:hint="eastAsia"/>
                <w:b/>
                <w:sz w:val="21"/>
                <w:szCs w:val="21"/>
              </w:rPr>
              <w:t>2.接受大中型企业与小微企业组成联合体或者允许大中型企业向一家或者多家小微企业分包的采购项目，对于联合协议或者分包意向协议约定小微企业的合同份额占到合同总金额30%以上的，当对联合体或者大中型企业的报价给予</w:t>
            </w:r>
            <w:r>
              <w:rPr>
                <w:rFonts w:hint="eastAsia"/>
                <w:b/>
                <w:color w:val="FF0000"/>
                <w:sz w:val="21"/>
                <w:szCs w:val="21"/>
              </w:rPr>
              <w:t>3%</w:t>
            </w:r>
            <w:r>
              <w:rPr>
                <w:rFonts w:hint="eastAsia"/>
                <w:b/>
                <w:sz w:val="21"/>
                <w:szCs w:val="21"/>
              </w:rPr>
              <w:t>的扣除。</w:t>
            </w:r>
          </w:p>
          <w:p>
            <w:pPr>
              <w:pStyle w:val="38"/>
              <w:spacing w:before="0" w:beforeAutospacing="0" w:after="0" w:afterAutospacing="0" w:line="324" w:lineRule="auto"/>
              <w:ind w:left="420"/>
              <w:rPr>
                <w:sz w:val="21"/>
                <w:szCs w:val="21"/>
              </w:rPr>
            </w:pPr>
            <w:r>
              <w:rPr>
                <w:rFonts w:hint="eastAsia"/>
                <w:b/>
                <w:sz w:val="21"/>
                <w:szCs w:val="21"/>
              </w:rPr>
              <w:t>3.</w:t>
            </w:r>
            <w:r>
              <w:rPr>
                <w:b/>
                <w:sz w:val="21"/>
                <w:szCs w:val="21"/>
              </w:rPr>
              <w:t xml:space="preserve"> 相关证明文件详见投标文件格式要求</w:t>
            </w:r>
            <w:r>
              <w:rPr>
                <w:rFonts w:hint="eastAsia"/>
                <w:b/>
                <w:sz w:val="21"/>
                <w:szCs w:val="21"/>
              </w:rPr>
              <w:t>，</w:t>
            </w:r>
            <w:r>
              <w:rPr>
                <w:b/>
                <w:sz w:val="21"/>
                <w:szCs w:val="21"/>
              </w:rPr>
              <w:t>投标人同时为小型、微型企业、监狱企业和残疾人福利性单位的，评审中只享受一次价格扣除，不重复进行价格扣除。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Cs w:val="21"/>
              </w:rPr>
            </w:pPr>
            <w:r>
              <w:rPr>
                <w:rFonts w:ascii="宋体" w:hAnsi="宋体"/>
                <w:b/>
                <w:bCs/>
                <w:szCs w:val="21"/>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Cs w:val="21"/>
              </w:rPr>
            </w:pPr>
            <w:r>
              <w:rPr>
                <w:rFonts w:ascii="宋体" w:hAnsi="宋体"/>
                <w:b/>
                <w:bCs/>
                <w:szCs w:val="21"/>
              </w:rPr>
              <w:t>评分项</w:t>
            </w:r>
          </w:p>
        </w:tc>
        <w:tc>
          <w:tcPr>
            <w:tcW w:w="415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Cs w:val="21"/>
              </w:rPr>
            </w:pPr>
            <w:r>
              <w:rPr>
                <w:rFonts w:ascii="宋体" w:hAnsi="宋体"/>
                <w:b/>
                <w:bCs/>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Cs w:val="21"/>
              </w:rPr>
            </w:pPr>
            <w:r>
              <w:rPr>
                <w:rFonts w:ascii="宋体" w:hAnsi="宋体"/>
                <w:b/>
                <w:bCs/>
                <w:color w:val="0000FF"/>
                <w:szCs w:val="21"/>
              </w:rPr>
              <w:t>1</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Cs w:val="21"/>
              </w:rPr>
            </w:pPr>
            <w:r>
              <w:rPr>
                <w:rFonts w:ascii="宋体" w:hAnsi="宋体"/>
                <w:b/>
                <w:bCs/>
                <w:color w:val="0000FF"/>
                <w:szCs w:val="21"/>
              </w:rPr>
              <w:t>价格</w:t>
            </w:r>
          </w:p>
        </w:tc>
        <w:tc>
          <w:tcPr>
            <w:tcW w:w="4159"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Cs w:val="21"/>
              </w:rPr>
            </w:pPr>
            <w:r>
              <w:rPr>
                <w:rFonts w:ascii="宋体" w:hAnsi="宋体"/>
                <w:b/>
                <w:bCs/>
                <w:color w:val="0000FF"/>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restart"/>
            <w:tcBorders>
              <w:top w:val="single" w:color="000000" w:sz="8" w:space="0"/>
              <w:left w:val="single" w:color="000000" w:sz="8" w:space="0"/>
              <w:right w:val="single" w:color="000000" w:sz="8" w:space="0"/>
            </w:tcBorders>
          </w:tcPr>
          <w:p>
            <w:pPr>
              <w:wordWrap w:val="0"/>
              <w:jc w:val="center"/>
              <w:rPr>
                <w:rFonts w:ascii="宋体" w:hAnsi="宋体" w:cs="宋体"/>
                <w:b/>
                <w:bCs/>
                <w:color w:val="0000FF"/>
                <w:szCs w:val="21"/>
              </w:rPr>
            </w:pPr>
            <w:r>
              <w:rPr>
                <w:rFonts w:ascii="宋体" w:hAnsi="宋体"/>
                <w:b/>
                <w:bCs/>
                <w:color w:val="0000FF"/>
                <w:szCs w:val="21"/>
              </w:rPr>
              <w:t>2</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Cs w:val="21"/>
              </w:rPr>
            </w:pPr>
            <w:r>
              <w:rPr>
                <w:rFonts w:ascii="宋体" w:hAnsi="宋体"/>
                <w:b/>
                <w:bCs/>
                <w:color w:val="0000FF"/>
                <w:szCs w:val="21"/>
              </w:rPr>
              <w:t>技术部分</w:t>
            </w:r>
          </w:p>
        </w:tc>
        <w:tc>
          <w:tcPr>
            <w:tcW w:w="4159"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Cs w:val="21"/>
              </w:rPr>
            </w:pPr>
            <w:r>
              <w:rPr>
                <w:rFonts w:hint="eastAsia" w:ascii="宋体" w:hAnsi="宋体" w:cs="宋体"/>
                <w:b/>
                <w:bCs/>
                <w:color w:val="0000FF"/>
                <w:szCs w:val="21"/>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left w:val="single" w:color="000000" w:sz="8" w:space="0"/>
              <w:right w:val="single" w:color="000000" w:sz="8" w:space="0"/>
            </w:tcBorders>
            <w:shd w:val="clear" w:color="auto" w:fill="E6EFFA"/>
            <w:vAlign w:val="center"/>
          </w:tcPr>
          <w:p>
            <w:pPr>
              <w:rPr>
                <w:rFonts w:ascii="宋体" w:hAnsi="宋体" w:cs="宋体"/>
                <w:b/>
                <w:bCs/>
                <w:color w:val="0000FF"/>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权重(%)</w:t>
            </w:r>
          </w:p>
        </w:tc>
        <w:tc>
          <w:tcPr>
            <w:tcW w:w="4159"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left w:val="single" w:color="000000" w:sz="8" w:space="0"/>
              <w:right w:val="single" w:color="000000" w:sz="8" w:space="0"/>
            </w:tcBorders>
            <w:vAlign w:val="center"/>
          </w:tcPr>
          <w:p>
            <w:pPr>
              <w:rPr>
                <w:rFonts w:ascii="宋体" w:hAnsi="宋体" w:cs="宋体"/>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实施方案评价</w:t>
            </w:r>
          </w:p>
        </w:tc>
        <w:tc>
          <w:tcPr>
            <w:tcW w:w="68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2</w:t>
            </w:r>
          </w:p>
        </w:tc>
        <w:tc>
          <w:tcPr>
            <w:tcW w:w="4159" w:type="dxa"/>
            <w:gridSpan w:val="3"/>
            <w:tcBorders>
              <w:top w:val="single" w:color="000000" w:sz="8" w:space="0"/>
              <w:left w:val="single" w:color="000000" w:sz="8" w:space="0"/>
              <w:bottom w:val="single" w:color="000000" w:sz="8" w:space="0"/>
              <w:right w:val="single" w:color="000000" w:sz="8"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根据投标</w:t>
            </w:r>
            <w:r>
              <w:rPr>
                <w:rFonts w:hint="eastAsia" w:ascii="宋体" w:hAnsi="宋体" w:cs="宋体"/>
                <w:color w:val="000000" w:themeColor="text1"/>
                <w:szCs w:val="21"/>
                <w14:textFill>
                  <w14:solidFill>
                    <w14:schemeClr w14:val="tx1"/>
                  </w14:solidFill>
                </w14:textFill>
              </w:rPr>
              <w:t>人</w:t>
            </w:r>
            <w:r>
              <w:rPr>
                <w:rFonts w:ascii="宋体" w:hAnsi="宋体" w:cs="宋体"/>
                <w:color w:val="000000" w:themeColor="text1"/>
                <w:szCs w:val="21"/>
                <w14:textFill>
                  <w14:solidFill>
                    <w14:schemeClr w14:val="tx1"/>
                  </w14:solidFill>
                </w14:textFill>
              </w:rPr>
              <w:t xml:space="preserve">针对本项目的实施方案进行评价，具体包含以下内容： </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1、具有工作措施方案、工作方法、工作流程方案。</w:t>
            </w:r>
          </w:p>
          <w:p>
            <w:pPr>
              <w:spacing w:line="360" w:lineRule="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具备</w:t>
            </w:r>
            <w:r>
              <w:rPr>
                <w:rFonts w:ascii="宋体" w:hAnsi="宋体" w:cs="宋体"/>
                <w:color w:val="000000" w:themeColor="text1"/>
                <w:szCs w:val="21"/>
                <w14:textFill>
                  <w14:solidFill>
                    <w14:schemeClr w14:val="tx1"/>
                  </w14:solidFill>
                </w14:textFill>
              </w:rPr>
              <w:t>各种规章制度、</w:t>
            </w:r>
            <w:r>
              <w:rPr>
                <w:rFonts w:hint="eastAsia" w:ascii="宋体" w:hAnsi="宋体" w:cs="宋体"/>
                <w:color w:val="000000" w:themeColor="text1"/>
                <w:szCs w:val="21"/>
                <w14:textFill>
                  <w14:solidFill>
                    <w14:schemeClr w14:val="tx1"/>
                  </w14:solidFill>
                </w14:textFill>
              </w:rPr>
              <w:t>奖惩及</w:t>
            </w:r>
            <w:r>
              <w:rPr>
                <w:rFonts w:ascii="宋体" w:hAnsi="宋体" w:cs="宋体"/>
                <w:color w:val="000000" w:themeColor="text1"/>
                <w:szCs w:val="21"/>
                <w14:textFill>
                  <w14:solidFill>
                    <w14:schemeClr w14:val="tx1"/>
                  </w14:solidFill>
                </w14:textFill>
              </w:rPr>
              <w:t>管理办法</w:t>
            </w:r>
            <w:r>
              <w:rPr>
                <w:rFonts w:hint="eastAsia" w:ascii="宋体" w:hAnsi="宋体" w:cs="宋体"/>
                <w:color w:val="000000" w:themeColor="text1"/>
                <w:szCs w:val="21"/>
                <w14:textFill>
                  <w14:solidFill>
                    <w14:schemeClr w14:val="tx1"/>
                  </w14:solidFill>
                </w14:textFill>
              </w:rPr>
              <w:t>。</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评审：满足以上两点得2分，满足任意一点得1分，未满足不得分。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left w:val="single" w:color="000000" w:sz="8" w:space="0"/>
              <w:right w:val="single" w:color="000000" w:sz="8" w:space="0"/>
            </w:tcBorders>
            <w:vAlign w:val="center"/>
          </w:tcPr>
          <w:p>
            <w:pPr>
              <w:rPr>
                <w:rFonts w:ascii="宋体" w:hAnsi="宋体" w:cs="宋体"/>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应急方案</w:t>
            </w:r>
          </w:p>
        </w:tc>
        <w:tc>
          <w:tcPr>
            <w:tcW w:w="68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3</w:t>
            </w:r>
          </w:p>
        </w:tc>
        <w:tc>
          <w:tcPr>
            <w:tcW w:w="4159" w:type="dxa"/>
            <w:gridSpan w:val="3"/>
            <w:tcBorders>
              <w:top w:val="single" w:color="000000" w:sz="8" w:space="0"/>
              <w:left w:val="single" w:color="000000" w:sz="8" w:space="0"/>
              <w:bottom w:val="single" w:color="000000" w:sz="8" w:space="0"/>
              <w:right w:val="single" w:color="000000" w:sz="8" w:space="0"/>
            </w:tcBorders>
            <w:vAlign w:val="center"/>
          </w:tcPr>
          <w:p>
            <w:pPr>
              <w:spacing w:line="360" w:lineRule="auto"/>
              <w:jc w:val="left"/>
              <w:rPr>
                <w:rFonts w:ascii="宋体" w:hAnsi="宋体" w:cs="宋体"/>
                <w:szCs w:val="21"/>
              </w:rPr>
            </w:pPr>
            <w:r>
              <w:rPr>
                <w:rFonts w:ascii="宋体" w:hAnsi="宋体" w:cs="宋体"/>
                <w:szCs w:val="21"/>
              </w:rPr>
              <w:t>根据投标</w:t>
            </w:r>
            <w:r>
              <w:rPr>
                <w:rFonts w:hint="eastAsia" w:ascii="宋体" w:hAnsi="宋体" w:cs="宋体"/>
                <w:szCs w:val="21"/>
              </w:rPr>
              <w:t>人</w:t>
            </w:r>
            <w:r>
              <w:rPr>
                <w:rFonts w:ascii="宋体" w:hAnsi="宋体" w:cs="宋体"/>
                <w:szCs w:val="21"/>
              </w:rPr>
              <w:t>针对本项目的</w:t>
            </w:r>
            <w:r>
              <w:rPr>
                <w:rFonts w:hint="eastAsia" w:ascii="宋体" w:hAnsi="宋体" w:cs="宋体"/>
                <w:szCs w:val="21"/>
              </w:rPr>
              <w:t>应急</w:t>
            </w:r>
            <w:r>
              <w:rPr>
                <w:rFonts w:ascii="宋体" w:hAnsi="宋体" w:cs="宋体"/>
                <w:szCs w:val="21"/>
              </w:rPr>
              <w:t>方案进行评价，具体包含以下内容：</w:t>
            </w:r>
          </w:p>
          <w:p>
            <w:pPr>
              <w:pStyle w:val="287"/>
              <w:numPr>
                <w:ilvl w:val="0"/>
                <w:numId w:val="11"/>
              </w:numPr>
              <w:spacing w:line="360" w:lineRule="auto"/>
              <w:ind w:firstLineChars="0"/>
              <w:rPr>
                <w:rFonts w:ascii="宋体" w:hAnsi="宋体" w:cs="宋体"/>
                <w:szCs w:val="21"/>
              </w:rPr>
            </w:pPr>
            <w:r>
              <w:rPr>
                <w:rFonts w:hint="eastAsia" w:ascii="宋体" w:hAnsi="宋体" w:cs="宋体"/>
                <w:szCs w:val="21"/>
              </w:rPr>
              <w:t>具有</w:t>
            </w:r>
            <w:r>
              <w:rPr>
                <w:rFonts w:ascii="宋体" w:hAnsi="宋体" w:cs="宋体"/>
                <w:szCs w:val="21"/>
              </w:rPr>
              <w:t>突发事件处置方案</w:t>
            </w:r>
            <w:r>
              <w:rPr>
                <w:rFonts w:hint="eastAsia" w:ascii="宋体" w:hAnsi="宋体" w:cs="宋体"/>
                <w:szCs w:val="21"/>
              </w:rPr>
              <w:t>的。</w:t>
            </w:r>
          </w:p>
          <w:p>
            <w:pPr>
              <w:spacing w:line="360" w:lineRule="auto"/>
              <w:rPr>
                <w:rFonts w:ascii="宋体" w:hAnsi="宋体" w:cs="宋体"/>
                <w:szCs w:val="21"/>
              </w:rPr>
            </w:pPr>
            <w:r>
              <w:rPr>
                <w:rFonts w:hint="eastAsia" w:ascii="宋体" w:hAnsi="宋体" w:cs="宋体"/>
                <w:szCs w:val="21"/>
              </w:rPr>
              <w:t>2、近三年（</w:t>
            </w:r>
            <w:r>
              <w:rPr>
                <w:rFonts w:hint="eastAsia" w:ascii="宋体" w:hAnsi="宋体"/>
                <w:szCs w:val="21"/>
              </w:rPr>
              <w:t>以投标截止时间倒算）</w:t>
            </w:r>
            <w:r>
              <w:rPr>
                <w:rFonts w:hint="eastAsia" w:ascii="宋体" w:hAnsi="宋体" w:cs="宋体"/>
                <w:szCs w:val="21"/>
              </w:rPr>
              <w:t>累计义警出动人次1000以上的</w:t>
            </w:r>
          </w:p>
          <w:p>
            <w:pPr>
              <w:spacing w:line="360" w:lineRule="auto"/>
              <w:rPr>
                <w:rFonts w:ascii="宋体" w:hAnsi="宋体" w:cs="宋体"/>
                <w:szCs w:val="21"/>
              </w:rPr>
            </w:pPr>
            <w:r>
              <w:rPr>
                <w:rFonts w:hint="eastAsia" w:ascii="宋体" w:hAnsi="宋体" w:cs="宋体"/>
                <w:szCs w:val="21"/>
              </w:rPr>
              <w:t>评审：满足以上两点得3分，满足任意一点得1.5分，未满足不得分。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left w:val="single" w:color="000000" w:sz="8" w:space="0"/>
              <w:right w:val="single" w:color="000000" w:sz="8" w:space="0"/>
            </w:tcBorders>
            <w:vAlign w:val="center"/>
          </w:tcPr>
          <w:p>
            <w:pPr>
              <w:rPr>
                <w:rFonts w:ascii="宋体" w:hAnsi="宋体" w:cs="宋体"/>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ascii="宋体" w:hAnsi="宋体"/>
                <w:szCs w:val="21"/>
              </w:rPr>
              <w:t>服务条款偏离表</w:t>
            </w:r>
          </w:p>
        </w:tc>
        <w:tc>
          <w:tcPr>
            <w:tcW w:w="68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9</w:t>
            </w:r>
          </w:p>
        </w:tc>
        <w:tc>
          <w:tcPr>
            <w:tcW w:w="4159" w:type="dxa"/>
            <w:gridSpan w:val="3"/>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szCs w:val="21"/>
              </w:rPr>
            </w:pPr>
            <w:r>
              <w:rPr>
                <w:rFonts w:hint="eastAsia" w:ascii="宋体" w:hAnsi="宋体"/>
                <w:szCs w:val="21"/>
              </w:rPr>
              <w:t>标人如实填写</w:t>
            </w:r>
            <w:r>
              <w:rPr>
                <w:rFonts w:ascii="宋体" w:hAnsi="宋体"/>
                <w:szCs w:val="21"/>
              </w:rPr>
              <w:t>《服务条款偏离表》</w:t>
            </w:r>
            <w:r>
              <w:rPr>
                <w:rFonts w:hint="eastAsia" w:ascii="宋体" w:hAnsi="宋体"/>
                <w:szCs w:val="21"/>
              </w:rPr>
              <w:t>，评标根据投标人的响应情况进行评分，完全响应招标需求的得满分，一般技术参数每负偏离一项扣3分，扣完为止</w:t>
            </w:r>
            <w:r>
              <w:rPr>
                <w:rFonts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Cs w:val="21"/>
              </w:rPr>
            </w:pPr>
            <w:r>
              <w:rPr>
                <w:rFonts w:ascii="宋体" w:hAnsi="宋体"/>
                <w:b/>
                <w:bCs/>
                <w:color w:val="0000FF"/>
                <w:szCs w:val="21"/>
              </w:rPr>
              <w:t>3</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Cs w:val="21"/>
              </w:rPr>
            </w:pPr>
            <w:r>
              <w:rPr>
                <w:rFonts w:ascii="宋体" w:hAnsi="宋体"/>
                <w:b/>
                <w:bCs/>
                <w:color w:val="0000FF"/>
                <w:szCs w:val="21"/>
              </w:rPr>
              <w:t>综合实力部分</w:t>
            </w:r>
          </w:p>
        </w:tc>
        <w:tc>
          <w:tcPr>
            <w:tcW w:w="4159"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Cs w:val="21"/>
              </w:rPr>
            </w:pPr>
            <w:r>
              <w:rPr>
                <w:rFonts w:hint="eastAsia" w:ascii="宋体" w:hAnsi="宋体" w:cs="宋体"/>
                <w:b/>
                <w:bCs/>
                <w:color w:val="0000FF"/>
                <w:szCs w:val="21"/>
              </w:rPr>
              <w:t>76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权重(%)</w:t>
            </w:r>
          </w:p>
        </w:tc>
        <w:tc>
          <w:tcPr>
            <w:tcW w:w="4159"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体系认证情况</w:t>
            </w:r>
          </w:p>
        </w:tc>
        <w:tc>
          <w:tcPr>
            <w:tcW w:w="68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10</w:t>
            </w:r>
          </w:p>
        </w:tc>
        <w:tc>
          <w:tcPr>
            <w:tcW w:w="4159" w:type="dxa"/>
            <w:gridSpan w:val="3"/>
            <w:tcBorders>
              <w:top w:val="single" w:color="000000" w:sz="8" w:space="0"/>
              <w:left w:val="single" w:color="000000" w:sz="8" w:space="0"/>
              <w:bottom w:val="single" w:color="000000" w:sz="8" w:space="0"/>
              <w:right w:val="single" w:color="000000" w:sz="8" w:space="0"/>
            </w:tcBorders>
            <w:vAlign w:val="center"/>
          </w:tcPr>
          <w:p>
            <w:pPr>
              <w:widowControl/>
              <w:rPr>
                <w:rFonts w:ascii="宋体" w:hAnsi="宋体" w:cs="宋体"/>
                <w:b/>
                <w:bCs/>
                <w:szCs w:val="21"/>
              </w:rPr>
            </w:pPr>
            <w:r>
              <w:rPr>
                <w:rFonts w:hint="eastAsia" w:ascii="宋体" w:hAnsi="宋体" w:cs="宋体"/>
                <w:b/>
                <w:bCs/>
                <w:szCs w:val="21"/>
              </w:rPr>
              <w:t>一、评审内容：</w:t>
            </w:r>
          </w:p>
          <w:p>
            <w:pPr>
              <w:widowControl/>
              <w:rPr>
                <w:rFonts w:ascii="宋体" w:hAnsi="宋体" w:cs="宋体"/>
                <w:szCs w:val="21"/>
              </w:rPr>
            </w:pPr>
            <w:r>
              <w:rPr>
                <w:rFonts w:hint="eastAsia" w:ascii="宋体" w:hAnsi="宋体" w:cs="宋体"/>
                <w:szCs w:val="21"/>
              </w:rPr>
              <w:t>投标人具有质量管理体系认证证书、环境管理体系认证证书、职业健康安全管理体系认证证书、信息安全管理体系认证证书、社会责任管理体系认证证书、诚信管理体系认证证书、商品售后服务认证证书，每通过一项有效认证的得1.5分,最高10分。</w:t>
            </w:r>
          </w:p>
          <w:p>
            <w:pPr>
              <w:widowControl/>
              <w:rPr>
                <w:rFonts w:ascii="宋体" w:hAnsi="宋体" w:cs="宋体"/>
                <w:b/>
                <w:bCs/>
                <w:szCs w:val="21"/>
              </w:rPr>
            </w:pPr>
            <w:r>
              <w:rPr>
                <w:rFonts w:hint="eastAsia" w:ascii="宋体" w:hAnsi="宋体" w:cs="宋体"/>
                <w:b/>
                <w:bCs/>
                <w:szCs w:val="21"/>
              </w:rPr>
              <w:t>二、证明材料：</w:t>
            </w:r>
          </w:p>
          <w:p>
            <w:pPr>
              <w:widowControl/>
              <w:rPr>
                <w:rFonts w:ascii="宋体" w:hAnsi="宋体" w:cs="宋体"/>
                <w:szCs w:val="21"/>
              </w:rPr>
            </w:pPr>
            <w:r>
              <w:rPr>
                <w:rFonts w:hint="eastAsia" w:ascii="宋体" w:hAnsi="宋体" w:cs="宋体"/>
                <w:szCs w:val="21"/>
              </w:rPr>
              <w:t>提供相关认证机构颁发的有效期内的认证证书复印件及认证信息查询截图（截图需显示证书状态为有效），原件备查。</w:t>
            </w:r>
          </w:p>
          <w:p>
            <w:pPr>
              <w:widowControl/>
              <w:rPr>
                <w:rFonts w:ascii="宋体" w:hAnsi="宋体" w:cs="宋体"/>
                <w:szCs w:val="21"/>
              </w:rPr>
            </w:pPr>
            <w:r>
              <w:rPr>
                <w:rFonts w:hint="eastAsia" w:ascii="宋体" w:hAnsi="宋体" w:cs="宋体"/>
                <w:szCs w:val="21"/>
              </w:rPr>
              <w:t>说明：</w:t>
            </w:r>
          </w:p>
          <w:p>
            <w:pPr>
              <w:widowControl/>
              <w:rPr>
                <w:rFonts w:ascii="宋体" w:hAnsi="宋体" w:cs="宋体"/>
                <w:szCs w:val="21"/>
              </w:rPr>
            </w:pPr>
            <w:r>
              <w:rPr>
                <w:rFonts w:hint="eastAsia" w:ascii="宋体" w:hAnsi="宋体" w:cs="宋体"/>
                <w:szCs w:val="21"/>
              </w:rPr>
              <w:t>1.证书与查询信息截图必须同时提供，缺一不可。未同时提供的不得分，后果由投标人自行承担。</w:t>
            </w:r>
          </w:p>
          <w:p>
            <w:pPr>
              <w:widowControl/>
              <w:rPr>
                <w:rFonts w:ascii="宋体" w:hAnsi="宋体" w:cs="宋体"/>
                <w:szCs w:val="21"/>
              </w:rPr>
            </w:pPr>
            <w:r>
              <w:rPr>
                <w:rFonts w:hint="eastAsia" w:ascii="宋体" w:hAnsi="宋体" w:cs="宋体"/>
                <w:szCs w:val="21"/>
              </w:rPr>
              <w:t>2.投标人应确保认证证书在开标当天仍处于有效状态，并对所提供的证书及查询截图的真实性负责，如出现与事实不符的情形，视同隐瞒真实情况，提供虚假资料，将依法承担相应的法律责任。</w:t>
            </w:r>
          </w:p>
          <w:p>
            <w:pPr>
              <w:jc w:val="left"/>
              <w:rPr>
                <w:rFonts w:ascii="宋体" w:hAnsi="宋体" w:cs="宋体"/>
                <w:szCs w:val="21"/>
              </w:rPr>
            </w:pPr>
            <w:r>
              <w:rPr>
                <w:rFonts w:hint="eastAsia" w:ascii="宋体" w:hAnsi="宋体" w:cs="宋体"/>
                <w:szCs w:val="21"/>
              </w:rPr>
              <w:t>3.质疑投诉处理中对证书是否有效的认定，以国家认监委网站【全国认证认可信息公共服务平台（</w:t>
            </w:r>
            <w:r>
              <w:rPr>
                <w:rFonts w:ascii="宋体" w:hAnsi="宋体" w:cs="宋体"/>
                <w:szCs w:val="21"/>
              </w:rPr>
              <w:t>http://cx.cnca.cn</w:t>
            </w:r>
            <w:r>
              <w:rPr>
                <w:rFonts w:hint="eastAsia" w:ascii="宋体" w:hAnsi="宋体" w:cs="宋体"/>
                <w:szCs w:val="21"/>
              </w:rPr>
              <w:t>】查询结果为准。未按要求提供相关材料或相关材料不清晰导致无法识别的不计得分，原件备查。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项目负责人经验评价（本项目配备的项目负责人）</w:t>
            </w:r>
          </w:p>
        </w:tc>
        <w:tc>
          <w:tcPr>
            <w:tcW w:w="68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18</w:t>
            </w:r>
          </w:p>
        </w:tc>
        <w:tc>
          <w:tcPr>
            <w:tcW w:w="4159" w:type="dxa"/>
            <w:gridSpan w:val="3"/>
            <w:tcBorders>
              <w:top w:val="single" w:color="000000" w:sz="8" w:space="0"/>
              <w:left w:val="single" w:color="000000" w:sz="8" w:space="0"/>
              <w:bottom w:val="single" w:color="000000" w:sz="8" w:space="0"/>
              <w:right w:val="single" w:color="000000" w:sz="8" w:space="0"/>
            </w:tcBorders>
            <w:vAlign w:val="center"/>
          </w:tcPr>
          <w:p>
            <w:pPr>
              <w:widowControl/>
              <w:rPr>
                <w:rFonts w:ascii="宋体" w:hAnsi="宋体" w:cs="宋体"/>
                <w:b/>
                <w:bCs/>
                <w:szCs w:val="21"/>
              </w:rPr>
            </w:pPr>
            <w:r>
              <w:rPr>
                <w:rFonts w:hint="eastAsia" w:ascii="宋体" w:hAnsi="宋体" w:cs="宋体"/>
                <w:b/>
                <w:bCs/>
                <w:szCs w:val="21"/>
              </w:rPr>
              <w:t>一、评审内容：</w:t>
            </w:r>
          </w:p>
          <w:p>
            <w:pPr>
              <w:widowControl/>
              <w:rPr>
                <w:rFonts w:ascii="宋体" w:hAnsi="宋体" w:cs="宋体"/>
                <w:szCs w:val="21"/>
              </w:rPr>
            </w:pPr>
            <w:r>
              <w:rPr>
                <w:rFonts w:hint="eastAsia" w:ascii="宋体" w:hAnsi="宋体" w:cs="宋体"/>
                <w:szCs w:val="21"/>
              </w:rPr>
              <w:t>项目负责人须为本单位在职员工，否则以下不得分：</w:t>
            </w:r>
          </w:p>
          <w:p>
            <w:pPr>
              <w:widowControl/>
              <w:rPr>
                <w:rFonts w:ascii="宋体" w:hAnsi="宋体" w:cs="宋体"/>
                <w:szCs w:val="21"/>
              </w:rPr>
            </w:pPr>
            <w:r>
              <w:rPr>
                <w:rFonts w:ascii="宋体" w:hAnsi="宋体" w:cs="宋体"/>
                <w:szCs w:val="21"/>
              </w:rPr>
              <w:t>1</w:t>
            </w:r>
            <w:r>
              <w:rPr>
                <w:rFonts w:hint="eastAsia" w:ascii="宋体" w:hAnsi="宋体" w:cs="宋体"/>
                <w:szCs w:val="21"/>
              </w:rPr>
              <w:t>、具有本科或以上学历的（须为全日制），得3分（提供毕业证书复印件并加盖投标人公章）；</w:t>
            </w:r>
          </w:p>
          <w:p>
            <w:pPr>
              <w:widowControl/>
              <w:rPr>
                <w:rFonts w:ascii="宋体" w:hAnsi="宋体" w:cs="宋体"/>
                <w:szCs w:val="21"/>
              </w:rPr>
            </w:pPr>
            <w:r>
              <w:rPr>
                <w:rFonts w:hint="eastAsia" w:ascii="宋体" w:hAnsi="宋体" w:cs="宋体"/>
                <w:szCs w:val="21"/>
              </w:rPr>
              <w:t xml:space="preserve">2、具有保安员（保安师）职业资格二级或以上证书的，得5.5分(提供资格证书复印件并加盖投标人公章)； </w:t>
            </w:r>
          </w:p>
          <w:p>
            <w:pPr>
              <w:widowControl/>
              <w:rPr>
                <w:rFonts w:ascii="宋体" w:hAnsi="宋体" w:cs="宋体"/>
                <w:szCs w:val="21"/>
              </w:rPr>
            </w:pPr>
            <w:r>
              <w:rPr>
                <w:rFonts w:hint="eastAsia" w:ascii="宋体" w:hAnsi="宋体" w:cs="宋体"/>
                <w:szCs w:val="21"/>
              </w:rPr>
              <w:t>3、具有一级企业人力资源管理师职业资格证书的，得5.5分(提供资格证书复印件并加盖投标人公章)；</w:t>
            </w:r>
          </w:p>
          <w:p>
            <w:pPr>
              <w:widowControl/>
              <w:rPr>
                <w:rFonts w:ascii="宋体" w:hAnsi="宋体" w:cs="宋体"/>
                <w:szCs w:val="21"/>
              </w:rPr>
            </w:pPr>
            <w:r>
              <w:rPr>
                <w:rFonts w:hint="eastAsia" w:ascii="宋体" w:hAnsi="宋体" w:cs="宋体"/>
                <w:szCs w:val="21"/>
              </w:rPr>
              <w:t>4、具有行业协会颁发的</w:t>
            </w:r>
            <w:r>
              <w:rPr>
                <w:rFonts w:hint="eastAsia" w:ascii="宋体" w:hAnsi="宋体" w:cs="宋体"/>
                <w:color w:val="000000"/>
                <w:szCs w:val="21"/>
              </w:rPr>
              <w:t>物业管理项目经理执业证书的</w:t>
            </w:r>
            <w:r>
              <w:rPr>
                <w:rFonts w:hint="eastAsia" w:ascii="宋体" w:hAnsi="宋体" w:cs="宋体"/>
                <w:szCs w:val="21"/>
              </w:rPr>
              <w:t>，得</w:t>
            </w:r>
            <w:r>
              <w:rPr>
                <w:rFonts w:hint="eastAsia" w:ascii="宋体" w:hAnsi="宋体" w:cs="宋体"/>
                <w:color w:val="000000"/>
                <w:szCs w:val="21"/>
              </w:rPr>
              <w:t>2分</w:t>
            </w:r>
            <w:r>
              <w:rPr>
                <w:rFonts w:hint="eastAsia" w:ascii="宋体" w:hAnsi="宋体" w:cs="宋体"/>
                <w:szCs w:val="21"/>
              </w:rPr>
              <w:t>（提供资格证书复印件并加盖投标人公章）；</w:t>
            </w:r>
          </w:p>
          <w:p>
            <w:pPr>
              <w:widowControl/>
              <w:rPr>
                <w:rFonts w:ascii="宋体" w:hAnsi="宋体" w:cs="宋体"/>
                <w:color w:val="000000"/>
                <w:szCs w:val="21"/>
              </w:rPr>
            </w:pPr>
            <w:r>
              <w:rPr>
                <w:rFonts w:hint="eastAsia" w:ascii="宋体" w:hAnsi="宋体" w:cs="宋体"/>
                <w:szCs w:val="21"/>
              </w:rPr>
              <w:t>5、</w:t>
            </w:r>
            <w:r>
              <w:rPr>
                <w:rFonts w:hint="eastAsia" w:ascii="宋体" w:hAnsi="宋体" w:cs="宋体"/>
                <w:color w:val="000000"/>
                <w:szCs w:val="21"/>
              </w:rPr>
              <w:t>本项目配备的项目负责人有6年政府行政机关或事业单位安保服务管理经验的得2分(提供相关部门服务评价证明文件复印件并加盖投标人公章)。</w:t>
            </w:r>
          </w:p>
          <w:p>
            <w:pPr>
              <w:widowControl/>
              <w:rPr>
                <w:rFonts w:ascii="宋体" w:hAnsi="宋体" w:cs="宋体"/>
                <w:szCs w:val="21"/>
              </w:rPr>
            </w:pPr>
            <w:r>
              <w:rPr>
                <w:rFonts w:hint="eastAsia" w:ascii="宋体" w:hAnsi="宋体" w:cs="宋体"/>
                <w:szCs w:val="21"/>
              </w:rPr>
              <w:t>以上四项最高18分。</w:t>
            </w:r>
          </w:p>
          <w:p>
            <w:pPr>
              <w:widowControl/>
              <w:rPr>
                <w:rFonts w:ascii="宋体" w:hAnsi="宋体" w:cs="宋体"/>
                <w:b/>
                <w:bCs/>
                <w:szCs w:val="21"/>
              </w:rPr>
            </w:pPr>
            <w:r>
              <w:rPr>
                <w:rFonts w:hint="eastAsia" w:ascii="宋体" w:hAnsi="宋体" w:cs="宋体"/>
                <w:b/>
                <w:bCs/>
                <w:szCs w:val="21"/>
              </w:rPr>
              <w:t>二、证明材料：</w:t>
            </w:r>
          </w:p>
          <w:p>
            <w:pPr>
              <w:widowControl/>
              <w:rPr>
                <w:rFonts w:ascii="宋体" w:hAnsi="宋体" w:cs="宋体"/>
                <w:szCs w:val="21"/>
              </w:rPr>
            </w:pPr>
            <w:r>
              <w:rPr>
                <w:rFonts w:hint="eastAsia" w:ascii="宋体" w:hAnsi="宋体" w:cs="宋体"/>
                <w:szCs w:val="21"/>
              </w:rPr>
              <w:t>1、本项目配备的项目负责人（仅限1人）必须为自有员工，提供该人员开标日前三个月载有社保部门公章的社保缴交证明材料复印件并加盖投标人公章（如开标日上一个月的社保材料因社保部门原因暂时无法取得，则可以往前顺延一个月），原件备查。</w:t>
            </w:r>
          </w:p>
          <w:p>
            <w:pPr>
              <w:widowControl/>
              <w:rPr>
                <w:rFonts w:ascii="宋体" w:hAnsi="宋体" w:cs="宋体"/>
                <w:szCs w:val="21"/>
              </w:rPr>
            </w:pPr>
            <w:r>
              <w:rPr>
                <w:rFonts w:ascii="宋体" w:hAnsi="宋体" w:cs="宋体"/>
                <w:szCs w:val="21"/>
              </w:rPr>
              <w:t>2</w:t>
            </w:r>
            <w:r>
              <w:rPr>
                <w:rFonts w:hint="eastAsia" w:ascii="宋体" w:hAnsi="宋体" w:cs="宋体"/>
                <w:szCs w:val="21"/>
              </w:rPr>
              <w:t>、第1、2、3、4项需提供相关证书复印件并加盖投标人公章；</w:t>
            </w:r>
          </w:p>
          <w:p>
            <w:pPr>
              <w:widowControl/>
              <w:rPr>
                <w:rFonts w:ascii="宋体" w:hAnsi="宋体" w:cs="宋体"/>
                <w:szCs w:val="21"/>
              </w:rPr>
            </w:pPr>
            <w:r>
              <w:rPr>
                <w:rFonts w:ascii="宋体" w:hAnsi="宋体" w:cs="宋体"/>
                <w:szCs w:val="21"/>
              </w:rPr>
              <w:t>3</w:t>
            </w:r>
            <w:r>
              <w:rPr>
                <w:rFonts w:hint="eastAsia" w:ascii="宋体" w:hAnsi="宋体" w:cs="宋体"/>
                <w:szCs w:val="21"/>
              </w:rPr>
              <w:t>、第5项需提供国家机关或事业单位出具并加盖公章的经验证明及合同证明材料（如服务合同或验收报告等）；</w:t>
            </w:r>
          </w:p>
          <w:p>
            <w:pPr>
              <w:jc w:val="left"/>
              <w:rPr>
                <w:rFonts w:ascii="宋体" w:hAnsi="宋体" w:cs="宋体"/>
                <w:szCs w:val="21"/>
              </w:rPr>
            </w:pPr>
            <w:r>
              <w:rPr>
                <w:rFonts w:hint="eastAsia" w:ascii="宋体" w:hAnsi="宋体" w:cs="宋体"/>
                <w:b/>
                <w:bCs/>
                <w:szCs w:val="21"/>
              </w:rPr>
              <w:t>注：</w:t>
            </w:r>
            <w:r>
              <w:rPr>
                <w:rFonts w:hint="eastAsia" w:ascii="宋体" w:hAnsi="宋体" w:cs="宋体"/>
                <w:szCs w:val="21"/>
              </w:rPr>
              <w:t>未按要求提供相关材料或复印件不清晰导致无法识别的不得分。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szCs w:val="21"/>
              </w:rPr>
              <w:t>拟安排的项目团队成员情况（项目负责人除外）</w:t>
            </w:r>
          </w:p>
        </w:tc>
        <w:tc>
          <w:tcPr>
            <w:tcW w:w="68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10</w:t>
            </w:r>
          </w:p>
        </w:tc>
        <w:tc>
          <w:tcPr>
            <w:tcW w:w="4159" w:type="dxa"/>
            <w:gridSpan w:val="3"/>
            <w:tcBorders>
              <w:top w:val="single" w:color="000000" w:sz="8" w:space="0"/>
              <w:left w:val="single" w:color="000000" w:sz="8" w:space="0"/>
              <w:bottom w:val="single" w:color="000000" w:sz="8" w:space="0"/>
              <w:right w:val="single" w:color="000000" w:sz="8" w:space="0"/>
            </w:tcBorders>
            <w:vAlign w:val="center"/>
          </w:tcPr>
          <w:p>
            <w:pPr>
              <w:widowControl/>
              <w:rPr>
                <w:rFonts w:ascii="宋体" w:hAnsi="宋体" w:cs="宋体"/>
                <w:b/>
                <w:bCs/>
                <w:szCs w:val="21"/>
              </w:rPr>
            </w:pPr>
            <w:r>
              <w:rPr>
                <w:rFonts w:hint="eastAsia" w:ascii="宋体" w:hAnsi="宋体" w:cs="宋体"/>
                <w:b/>
                <w:bCs/>
                <w:szCs w:val="21"/>
              </w:rPr>
              <w:t>一、评审内容：</w:t>
            </w:r>
          </w:p>
          <w:p>
            <w:pPr>
              <w:widowControl/>
              <w:rPr>
                <w:rFonts w:ascii="宋体" w:hAnsi="宋体" w:cs="宋体"/>
                <w:szCs w:val="21"/>
              </w:rPr>
            </w:pPr>
            <w:r>
              <w:rPr>
                <w:rFonts w:hint="eastAsia" w:ascii="宋体" w:hAnsi="宋体" w:cs="宋体"/>
                <w:szCs w:val="21"/>
              </w:rPr>
              <w:t>项目团队成员中具有保安员（保安师）三级及以上职业资格证书且是退伍军人的，每提供1人得5分，最高得10分；</w:t>
            </w:r>
          </w:p>
          <w:p>
            <w:pPr>
              <w:widowControl/>
              <w:rPr>
                <w:rFonts w:ascii="宋体" w:hAnsi="宋体" w:cs="宋体"/>
                <w:b/>
                <w:bCs/>
                <w:szCs w:val="21"/>
              </w:rPr>
            </w:pPr>
            <w:r>
              <w:rPr>
                <w:rFonts w:hint="eastAsia" w:ascii="宋体" w:hAnsi="宋体" w:cs="宋体"/>
                <w:b/>
                <w:bCs/>
                <w:szCs w:val="21"/>
              </w:rPr>
              <w:t>二、证明材料：</w:t>
            </w:r>
          </w:p>
          <w:p>
            <w:pPr>
              <w:jc w:val="left"/>
              <w:rPr>
                <w:rFonts w:ascii="宋体" w:hAnsi="宋体" w:cs="宋体"/>
                <w:szCs w:val="21"/>
              </w:rPr>
            </w:pPr>
            <w:r>
              <w:rPr>
                <w:rFonts w:hint="eastAsia" w:ascii="宋体" w:hAnsi="宋体" w:cs="宋体"/>
                <w:szCs w:val="21"/>
              </w:rPr>
              <w:t>1、上述人员须为投标人自有员工，提供人员开标日前三个月载有社保部门公章的社保缴交证明材料复印件（如开标日上一个月的社保材料因社保部门原因暂时无法取得，则可以往前顺延一个月）。</w:t>
            </w:r>
          </w:p>
          <w:p>
            <w:pPr>
              <w:jc w:val="left"/>
              <w:rPr>
                <w:rFonts w:ascii="宋体" w:hAnsi="宋体" w:cs="宋体"/>
                <w:szCs w:val="21"/>
              </w:rPr>
            </w:pPr>
            <w:r>
              <w:rPr>
                <w:rFonts w:ascii="宋体" w:hAnsi="宋体" w:cs="宋体"/>
                <w:szCs w:val="21"/>
              </w:rPr>
              <w:t>2</w:t>
            </w:r>
            <w:r>
              <w:rPr>
                <w:rFonts w:hint="eastAsia" w:ascii="宋体" w:hAnsi="宋体" w:cs="宋体"/>
                <w:szCs w:val="21"/>
              </w:rPr>
              <w:t>、提供相关证书复印件并加盖投标人公章，未按要求提供相关材料或不清晰导致无法判断内容的不得分，原件备查。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4</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投标人经验评价</w:t>
            </w:r>
          </w:p>
        </w:tc>
        <w:tc>
          <w:tcPr>
            <w:tcW w:w="68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20</w:t>
            </w:r>
          </w:p>
        </w:tc>
        <w:tc>
          <w:tcPr>
            <w:tcW w:w="4159" w:type="dxa"/>
            <w:gridSpan w:val="3"/>
            <w:tcBorders>
              <w:top w:val="single" w:color="000000" w:sz="8" w:space="0"/>
              <w:left w:val="single" w:color="000000" w:sz="8" w:space="0"/>
              <w:bottom w:val="single" w:color="000000" w:sz="8" w:space="0"/>
              <w:right w:val="single" w:color="000000" w:sz="8" w:space="0"/>
            </w:tcBorders>
          </w:tcPr>
          <w:p>
            <w:pPr>
              <w:widowControl/>
              <w:rPr>
                <w:rFonts w:ascii="宋体" w:hAnsi="宋体" w:cs="宋体"/>
                <w:b/>
                <w:bCs/>
                <w:szCs w:val="21"/>
              </w:rPr>
            </w:pPr>
            <w:r>
              <w:rPr>
                <w:rFonts w:hint="eastAsia" w:ascii="宋体" w:hAnsi="宋体" w:cs="宋体"/>
                <w:b/>
                <w:bCs/>
                <w:szCs w:val="21"/>
              </w:rPr>
              <w:t>一、评审内容：</w:t>
            </w:r>
          </w:p>
          <w:p>
            <w:pPr>
              <w:rPr>
                <w:rFonts w:ascii="宋体" w:hAnsi="宋体"/>
                <w:szCs w:val="21"/>
              </w:rPr>
            </w:pPr>
            <w:r>
              <w:rPr>
                <w:rFonts w:hint="eastAsia" w:ascii="宋体" w:hAnsi="宋体"/>
                <w:szCs w:val="21"/>
              </w:rPr>
              <w:t xml:space="preserve">提供2018年1月1日以后（以合同履约期为准且合同服务年限为一年或12个月或以上），投标人具有国家机关或事业单位委托的安保或保安服务项目经验且评价为满意或优秀或优或良好或良的(如服务评价证明不能反映上述评价内容的不得分)，每提供一个得2分，本项最高得20分。 </w:t>
            </w:r>
          </w:p>
          <w:p>
            <w:pPr>
              <w:widowControl/>
              <w:rPr>
                <w:rFonts w:ascii="宋体" w:hAnsi="宋体" w:cs="宋体"/>
                <w:b/>
                <w:bCs/>
                <w:szCs w:val="21"/>
              </w:rPr>
            </w:pPr>
            <w:r>
              <w:rPr>
                <w:rFonts w:hint="eastAsia" w:ascii="宋体" w:hAnsi="宋体" w:cs="宋体"/>
                <w:b/>
                <w:bCs/>
                <w:szCs w:val="21"/>
              </w:rPr>
              <w:t>二、证明材料：</w:t>
            </w:r>
          </w:p>
          <w:p>
            <w:pPr>
              <w:ind w:firstLine="420" w:firstLineChars="200"/>
              <w:rPr>
                <w:rFonts w:ascii="宋体" w:hAnsi="宋体"/>
                <w:szCs w:val="21"/>
              </w:rPr>
            </w:pPr>
            <w:r>
              <w:rPr>
                <w:rFonts w:hint="eastAsia" w:ascii="宋体" w:hAnsi="宋体"/>
                <w:szCs w:val="21"/>
              </w:rPr>
              <w:t>提供国家机关或事业单位出具的服务评价证明文件及合同关键页复印件（合同关键页或服务评价证明需能判断合同约定人数,如合同关键页或服务评价证明无法判断合同约定人数的，须同时提供合同甲方出具的证明文件）,出具服务评价证明的国家机关或事业单位必须为合同甲方；同一项目续签合同的不重复计分；</w:t>
            </w:r>
          </w:p>
          <w:p>
            <w:pPr>
              <w:ind w:firstLine="420" w:firstLineChars="200"/>
              <w:rPr>
                <w:rFonts w:ascii="宋体" w:hAnsi="宋体"/>
                <w:szCs w:val="21"/>
              </w:rPr>
            </w:pPr>
            <w:r>
              <w:rPr>
                <w:rFonts w:hint="eastAsia" w:ascii="宋体" w:hAnsi="宋体"/>
                <w:szCs w:val="21"/>
              </w:rPr>
              <w:t>每个项目须单独开具评价证明。如涉及到需要判断是否为同一项目续签的情形，如项目名称相同、出具评价证明单位相同的，投标人应提供能判别为不属同一项目续签的相关证明材料（如中标通知书或能反映不属同一项目续签的合同关键页），如不能判别，评标委员会有权对投标人作出不利判断。</w:t>
            </w:r>
          </w:p>
          <w:p>
            <w:pPr>
              <w:ind w:firstLine="420" w:firstLineChars="200"/>
              <w:rPr>
                <w:rFonts w:ascii="宋体" w:hAnsi="宋体"/>
                <w:szCs w:val="21"/>
              </w:rPr>
            </w:pPr>
            <w:r>
              <w:rPr>
                <w:rFonts w:hint="eastAsia" w:ascii="宋体" w:hAnsi="宋体"/>
                <w:szCs w:val="21"/>
              </w:rPr>
              <w:t xml:space="preserve">项目名称相同、出具服务评价证明单位相同，但是经过重新组织招标、招标编号不同的，不属同一项目续签。 </w:t>
            </w:r>
          </w:p>
          <w:p>
            <w:pPr>
              <w:ind w:firstLine="420" w:firstLineChars="200"/>
              <w:rPr>
                <w:rFonts w:ascii="宋体" w:hAnsi="宋体"/>
                <w:szCs w:val="21"/>
              </w:rPr>
            </w:pPr>
            <w:r>
              <w:rPr>
                <w:rFonts w:hint="eastAsia" w:ascii="宋体" w:hAnsi="宋体"/>
                <w:szCs w:val="21"/>
              </w:rPr>
              <w:t>注：未按要求提供相关材料或扫描件不清晰导致无法识别的不计得分，原件备查。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5</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应急处突能力评价</w:t>
            </w:r>
          </w:p>
        </w:tc>
        <w:tc>
          <w:tcPr>
            <w:tcW w:w="68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8</w:t>
            </w:r>
          </w:p>
        </w:tc>
        <w:tc>
          <w:tcPr>
            <w:tcW w:w="4159" w:type="dxa"/>
            <w:gridSpan w:val="3"/>
            <w:tcBorders>
              <w:top w:val="single" w:color="000000" w:sz="8" w:space="0"/>
              <w:left w:val="single" w:color="000000" w:sz="8" w:space="0"/>
              <w:bottom w:val="single" w:color="000000" w:sz="8" w:space="0"/>
              <w:right w:val="single" w:color="000000" w:sz="8" w:space="0"/>
            </w:tcBorders>
          </w:tcPr>
          <w:p>
            <w:pPr>
              <w:widowControl/>
              <w:rPr>
                <w:rFonts w:ascii="宋体" w:hAnsi="宋体" w:cs="宋体"/>
                <w:b/>
                <w:bCs/>
                <w:szCs w:val="21"/>
              </w:rPr>
            </w:pPr>
            <w:r>
              <w:rPr>
                <w:rFonts w:hint="eastAsia" w:ascii="宋体" w:hAnsi="宋体" w:cs="宋体"/>
                <w:b/>
                <w:bCs/>
                <w:szCs w:val="21"/>
              </w:rPr>
              <w:t>一、评审内容：</w:t>
            </w:r>
          </w:p>
          <w:p>
            <w:pPr>
              <w:jc w:val="left"/>
              <w:rPr>
                <w:rFonts w:ascii="宋体" w:hAnsi="宋体"/>
                <w:szCs w:val="21"/>
              </w:rPr>
            </w:pPr>
            <w:r>
              <w:rPr>
                <w:rFonts w:hint="eastAsia" w:ascii="宋体" w:hAnsi="宋体"/>
                <w:szCs w:val="21"/>
              </w:rPr>
              <w:t>投标人组建有县（区）级或以上政府编制的应急维稳专业队伍的，得8分。</w:t>
            </w:r>
          </w:p>
          <w:p>
            <w:pPr>
              <w:widowControl/>
              <w:rPr>
                <w:rFonts w:ascii="宋体" w:hAnsi="宋体" w:cs="宋体"/>
                <w:b/>
                <w:bCs/>
                <w:szCs w:val="21"/>
              </w:rPr>
            </w:pPr>
            <w:r>
              <w:rPr>
                <w:rFonts w:hint="eastAsia" w:ascii="宋体" w:hAnsi="宋体" w:cs="宋体"/>
                <w:b/>
                <w:bCs/>
                <w:szCs w:val="21"/>
              </w:rPr>
              <w:t>二、证明材料：</w:t>
            </w:r>
          </w:p>
          <w:p>
            <w:pPr>
              <w:ind w:firstLine="210" w:firstLineChars="100"/>
              <w:jc w:val="left"/>
              <w:rPr>
                <w:rFonts w:ascii="宋体" w:hAnsi="宋体"/>
                <w:szCs w:val="21"/>
              </w:rPr>
            </w:pPr>
            <w:r>
              <w:rPr>
                <w:rFonts w:hint="eastAsia" w:ascii="宋体" w:hAnsi="宋体"/>
                <w:szCs w:val="21"/>
              </w:rPr>
              <w:t>提供3年内（以投标截止时间倒算），区(县)级或以上公安机关出具的证明文件及县（区）级或以上政府部门出具的编制文件复印件作为得分依据（证明材料里应反映队伍人数及集中驻扎情况），否则不得分。</w:t>
            </w:r>
          </w:p>
          <w:p>
            <w:pPr>
              <w:ind w:firstLine="210" w:firstLineChars="100"/>
              <w:jc w:val="left"/>
              <w:rPr>
                <w:rFonts w:ascii="宋体" w:hAnsi="宋体"/>
                <w:szCs w:val="21"/>
              </w:rPr>
            </w:pPr>
            <w:r>
              <w:rPr>
                <w:rFonts w:hint="eastAsia" w:ascii="宋体" w:hAnsi="宋体"/>
                <w:szCs w:val="21"/>
              </w:rPr>
              <w:t>注；评分中出现无证明资料或专家无法凭所提供资料判断是否得分的情况，一律作不得分处理。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6</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获得荣誉情况评价</w:t>
            </w:r>
          </w:p>
        </w:tc>
        <w:tc>
          <w:tcPr>
            <w:tcW w:w="68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5</w:t>
            </w:r>
          </w:p>
        </w:tc>
        <w:tc>
          <w:tcPr>
            <w:tcW w:w="4159" w:type="dxa"/>
            <w:gridSpan w:val="3"/>
            <w:tcBorders>
              <w:top w:val="single" w:color="000000" w:sz="8" w:space="0"/>
              <w:left w:val="single" w:color="000000" w:sz="8" w:space="0"/>
              <w:bottom w:val="single" w:color="000000" w:sz="8" w:space="0"/>
              <w:right w:val="single" w:color="000000" w:sz="8" w:space="0"/>
            </w:tcBorders>
          </w:tcPr>
          <w:p>
            <w:pPr>
              <w:widowControl/>
              <w:rPr>
                <w:rFonts w:ascii="宋体" w:hAnsi="宋体" w:cs="宋体"/>
                <w:b/>
                <w:bCs/>
                <w:szCs w:val="21"/>
              </w:rPr>
            </w:pPr>
            <w:r>
              <w:rPr>
                <w:rFonts w:hint="eastAsia" w:ascii="宋体" w:hAnsi="宋体" w:cs="宋体"/>
                <w:b/>
                <w:bCs/>
                <w:szCs w:val="21"/>
              </w:rPr>
              <w:t>一、评审内容：</w:t>
            </w:r>
          </w:p>
          <w:p>
            <w:pPr>
              <w:rPr>
                <w:rFonts w:ascii="宋体" w:hAnsi="宋体"/>
                <w:szCs w:val="21"/>
              </w:rPr>
            </w:pPr>
            <w:r>
              <w:rPr>
                <w:rFonts w:hint="eastAsia" w:ascii="宋体" w:hAnsi="宋体"/>
                <w:szCs w:val="21"/>
              </w:rPr>
              <w:t>（1）获得过国家级先进荣誉的，得3分；</w:t>
            </w:r>
          </w:p>
          <w:p>
            <w:pPr>
              <w:rPr>
                <w:rFonts w:ascii="宋体" w:hAnsi="宋体"/>
                <w:szCs w:val="21"/>
              </w:rPr>
            </w:pPr>
            <w:r>
              <w:rPr>
                <w:rFonts w:hint="eastAsia" w:ascii="宋体" w:hAnsi="宋体"/>
                <w:szCs w:val="21"/>
              </w:rPr>
              <w:t>（2）获得过省级（不含副省级）先进荣誉的，得</w:t>
            </w:r>
            <w:r>
              <w:rPr>
                <w:rFonts w:ascii="宋体" w:hAnsi="宋体"/>
                <w:szCs w:val="21"/>
              </w:rPr>
              <w:t>2</w:t>
            </w:r>
            <w:r>
              <w:rPr>
                <w:rFonts w:hint="eastAsia" w:ascii="宋体" w:hAnsi="宋体"/>
                <w:szCs w:val="21"/>
              </w:rPr>
              <w:t>分；</w:t>
            </w:r>
          </w:p>
          <w:p>
            <w:pPr>
              <w:rPr>
                <w:rFonts w:ascii="宋体" w:hAnsi="宋体"/>
                <w:szCs w:val="21"/>
              </w:rPr>
            </w:pPr>
            <w:r>
              <w:rPr>
                <w:rFonts w:hint="eastAsia" w:ascii="宋体" w:hAnsi="宋体"/>
                <w:szCs w:val="21"/>
              </w:rPr>
              <w:t>（3）获得过市级或以上国家机关（或事业单位）颁发的疫情防控相关荣誉的得2分；</w:t>
            </w:r>
          </w:p>
          <w:p>
            <w:pPr>
              <w:rPr>
                <w:rFonts w:ascii="宋体" w:hAnsi="宋体"/>
                <w:b/>
                <w:szCs w:val="21"/>
              </w:rPr>
            </w:pPr>
            <w:r>
              <w:rPr>
                <w:rFonts w:hint="eastAsia" w:ascii="宋体" w:hAnsi="宋体"/>
                <w:b/>
                <w:szCs w:val="21"/>
              </w:rPr>
              <w:t>注：以上合计最高得5分。</w:t>
            </w:r>
          </w:p>
          <w:p>
            <w:pPr>
              <w:widowControl/>
              <w:rPr>
                <w:rFonts w:ascii="宋体" w:hAnsi="宋体" w:cs="宋体"/>
                <w:b/>
                <w:bCs/>
                <w:szCs w:val="21"/>
              </w:rPr>
            </w:pPr>
            <w:r>
              <w:rPr>
                <w:rFonts w:hint="eastAsia" w:ascii="宋体" w:hAnsi="宋体" w:cs="宋体"/>
                <w:b/>
                <w:bCs/>
                <w:szCs w:val="21"/>
              </w:rPr>
              <w:t>二、证明材料：</w:t>
            </w:r>
          </w:p>
          <w:p>
            <w:pPr>
              <w:rPr>
                <w:rFonts w:ascii="宋体" w:hAnsi="宋体"/>
                <w:szCs w:val="21"/>
              </w:rPr>
            </w:pPr>
            <w:r>
              <w:rPr>
                <w:rFonts w:hint="eastAsia" w:ascii="宋体" w:hAnsi="宋体"/>
                <w:szCs w:val="21"/>
              </w:rPr>
              <w:t>提供相关荣誉证书材料复印件并加盖投标人公章，证明材料须体现投标人名称，同一个项目只计获得的最高荣誉。</w:t>
            </w:r>
          </w:p>
          <w:p>
            <w:pPr>
              <w:rPr>
                <w:rFonts w:ascii="宋体" w:hAnsi="宋体"/>
                <w:szCs w:val="21"/>
              </w:rPr>
            </w:pPr>
            <w:r>
              <w:rPr>
                <w:rFonts w:hint="eastAsia" w:ascii="宋体" w:hAnsi="宋体"/>
                <w:szCs w:val="21"/>
              </w:rPr>
              <w:t>注：国家级荣誉要求颁发单位为国务院及其直属的国家机关（或事业单位）；省级荣誉颁发单位为省政府及其直属的国家机关（或事业单位）；市级荣誉颁发单位为市政府及其直属的国家机关（或事业单位）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Cs w:val="21"/>
              </w:rPr>
            </w:pPr>
            <w:r>
              <w:rPr>
                <w:rFonts w:ascii="宋体" w:hAnsi="宋体"/>
                <w:b/>
                <w:bCs/>
                <w:color w:val="0000FF"/>
                <w:szCs w:val="21"/>
              </w:rPr>
              <w:t>4</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Cs w:val="21"/>
              </w:rPr>
            </w:pPr>
            <w:r>
              <w:rPr>
                <w:rFonts w:ascii="宋体" w:hAnsi="宋体"/>
                <w:b/>
                <w:bCs/>
                <w:color w:val="0000FF"/>
                <w:szCs w:val="21"/>
              </w:rPr>
              <w:t>诚信情况</w:t>
            </w:r>
          </w:p>
        </w:tc>
        <w:tc>
          <w:tcPr>
            <w:tcW w:w="4159"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Cs w:val="21"/>
              </w:rPr>
            </w:pPr>
            <w:r>
              <w:rPr>
                <w:rFonts w:ascii="宋体" w:hAnsi="宋体"/>
                <w:b/>
                <w:bCs/>
                <w:color w:val="0000FF"/>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权重(%)</w:t>
            </w:r>
          </w:p>
        </w:tc>
        <w:tc>
          <w:tcPr>
            <w:tcW w:w="4159"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rFonts w:ascii="宋体" w:hAnsi="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wBefore w:w="275" w:type="dxa"/>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ascii="宋体" w:hAnsi="宋体"/>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诚信分</w:t>
            </w: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ascii="宋体" w:hAnsi="宋体"/>
                <w:szCs w:val="21"/>
              </w:rPr>
              <w:t>5</w:t>
            </w:r>
          </w:p>
        </w:tc>
        <w:tc>
          <w:tcPr>
            <w:tcW w:w="4159" w:type="dxa"/>
            <w:gridSpan w:val="3"/>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rFonts w:ascii="宋体" w:hAnsi="宋体"/>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pPr>
        <w:rPr>
          <w:rFonts w:ascii="宋体" w:hAnsi="宋体"/>
        </w:rPr>
      </w:pPr>
      <w:r>
        <w:rPr>
          <w:rFonts w:hint="eastAsia" w:ascii="宋体" w:hAnsi="宋体"/>
        </w:rPr>
        <w:t>注：</w:t>
      </w:r>
    </w:p>
    <w:p>
      <w:pPr>
        <w:ind w:firstLine="420" w:firstLineChars="200"/>
        <w:rPr>
          <w:rFonts w:ascii="宋体" w:hAnsi="宋体"/>
        </w:rPr>
      </w:pPr>
      <w:r>
        <w:rPr>
          <w:rFonts w:hint="eastAsia" w:ascii="宋体" w:hAnsi="宋体"/>
        </w:rPr>
        <w:t>1. 每一项的得分均不能超过该项最高分值。</w:t>
      </w:r>
    </w:p>
    <w:p>
      <w:pPr>
        <w:ind w:firstLine="420" w:firstLineChars="200"/>
        <w:rPr>
          <w:rFonts w:ascii="宋体" w:hAnsi="宋体"/>
        </w:rPr>
      </w:pPr>
      <w:r>
        <w:rPr>
          <w:rFonts w:hint="eastAsia" w:ascii="宋体" w:hAnsi="宋体"/>
        </w:rPr>
        <w:t>2. 缺项则该项为0分或不合格为0分。</w:t>
      </w:r>
    </w:p>
    <w:p>
      <w:pPr>
        <w:ind w:firstLine="420" w:firstLineChars="200"/>
        <w:rPr>
          <w:rFonts w:ascii="宋体" w:hAnsi="宋体"/>
        </w:rPr>
      </w:pPr>
      <w:r>
        <w:rPr>
          <w:rFonts w:hint="eastAsia" w:ascii="宋体" w:hAnsi="宋体"/>
        </w:rPr>
        <w:t>3. 价格、技术、商务部分为针对项目具体情况设置项目，累加满分为100分。</w:t>
      </w:r>
    </w:p>
    <w:p>
      <w:pPr>
        <w:ind w:firstLine="420" w:firstLineChars="200"/>
        <w:rPr>
          <w:rFonts w:ascii="宋体" w:hAnsi="宋体"/>
        </w:rPr>
      </w:pPr>
      <w:r>
        <w:rPr>
          <w:rFonts w:hint="eastAsia" w:ascii="宋体" w:hAnsi="宋体"/>
        </w:rPr>
        <w:t>4. 综合以上</w:t>
      </w:r>
      <w:r>
        <w:rPr>
          <w:rFonts w:hint="eastAsia"/>
          <w:snapToGrid w:val="0"/>
          <w:kern w:val="0"/>
        </w:rPr>
        <w:t>分析比较，评委会将对各投标文件进行书面的量化评定，得分</w:t>
      </w:r>
      <w:r>
        <w:rPr>
          <w:rFonts w:ascii="Arial" w:hAnsi="Arial" w:cs="Arial"/>
          <w:snapToGrid w:val="0"/>
          <w:kern w:val="0"/>
          <w:szCs w:val="18"/>
        </w:rPr>
        <w:t>精确到小数点后</w:t>
      </w:r>
      <w:r>
        <w:rPr>
          <w:rFonts w:hint="eastAsia" w:ascii="Arial" w:hAnsi="Arial" w:cs="Arial"/>
          <w:snapToGrid w:val="0"/>
          <w:kern w:val="0"/>
          <w:szCs w:val="18"/>
        </w:rPr>
        <w:t>两</w:t>
      </w:r>
      <w:r>
        <w:rPr>
          <w:rFonts w:ascii="Arial" w:hAnsi="Arial" w:cs="Arial"/>
          <w:snapToGrid w:val="0"/>
          <w:kern w:val="0"/>
          <w:szCs w:val="18"/>
        </w:rPr>
        <w:t>位</w:t>
      </w:r>
      <w:r>
        <w:rPr>
          <w:rFonts w:hint="eastAsia" w:ascii="Arial" w:hAnsi="Arial" w:cs="Arial"/>
          <w:snapToGrid w:val="0"/>
          <w:kern w:val="0"/>
          <w:szCs w:val="18"/>
        </w:rPr>
        <w:t>。</w:t>
      </w:r>
    </w:p>
    <w:p>
      <w:pPr>
        <w:ind w:firstLine="420" w:firstLineChars="200"/>
        <w:rPr>
          <w:rFonts w:ascii="Arial" w:hAnsi="Arial" w:cs="Arial"/>
          <w:snapToGrid w:val="0"/>
          <w:kern w:val="0"/>
          <w:szCs w:val="18"/>
        </w:rPr>
      </w:pPr>
    </w:p>
    <w:p>
      <w:pPr>
        <w:rPr>
          <w:rFonts w:ascii="宋体" w:hAnsi="宋体"/>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p>
    <w:p>
      <w:pPr>
        <w:pStyle w:val="5"/>
        <w:jc w:val="center"/>
      </w:pPr>
      <w:bookmarkStart w:id="246" w:name="_Toc3984"/>
      <w:r>
        <w:rPr>
          <w:rFonts w:hint="eastAsia"/>
        </w:rPr>
        <w:t>第三章招标项目需求</w:t>
      </w:r>
      <w:bookmarkEnd w:id="246"/>
    </w:p>
    <w:p>
      <w:pPr>
        <w:snapToGrid w:val="0"/>
        <w:spacing w:line="360" w:lineRule="auto"/>
        <w:rPr>
          <w:rFonts w:ascii="黑体" w:hAnsi="宋体" w:eastAsia="黑体" w:cs="宋体"/>
          <w:b/>
          <w:sz w:val="28"/>
          <w:szCs w:val="28"/>
        </w:rPr>
      </w:pPr>
      <w:r>
        <w:rPr>
          <w:rFonts w:hint="eastAsia" w:ascii="黑体" w:hAnsi="宋体" w:eastAsia="黑体" w:cs="宋体"/>
          <w:b/>
          <w:sz w:val="28"/>
          <w:szCs w:val="28"/>
        </w:rPr>
        <w:t>重点提示：</w:t>
      </w:r>
    </w:p>
    <w:p>
      <w:pPr>
        <w:spacing w:line="360" w:lineRule="auto"/>
        <w:ind w:firstLine="413" w:firstLineChars="196"/>
        <w:rPr>
          <w:rFonts w:ascii="宋体" w:hAnsi="宋体"/>
          <w:b/>
          <w:szCs w:val="21"/>
        </w:rPr>
      </w:pPr>
      <w:r>
        <w:rPr>
          <w:rFonts w:hint="eastAsia" w:ascii="宋体" w:hAnsi="宋体"/>
          <w:b/>
          <w:szCs w:val="21"/>
        </w:rPr>
        <w:t>1. 招标文件澄清、质疑的说明</w:t>
      </w:r>
    </w:p>
    <w:p>
      <w:pPr>
        <w:snapToGrid w:val="0"/>
        <w:spacing w:line="360" w:lineRule="auto"/>
        <w:ind w:firstLine="420" w:firstLineChars="200"/>
      </w:pPr>
      <w:r>
        <w:rPr>
          <w:rFonts w:hint="eastAsia" w:ascii="宋体" w:hAnsi="宋体"/>
          <w:szCs w:val="21"/>
        </w:rPr>
        <w:t>根据招标文件第一册第二章第9条“招标文件的澄清、质疑”的规定，任何要求对招标文件进行澄清或者对招标文件有限制性、倾向性条款提出质疑的投标人，均应于“招标公告”中所述答疑截止时间前书面通知政府采购代理机构。对于没有提出澄清或者质疑又参与了该项目投标的供应商将被视为完全认同该招标文件，投标截止期后不再受理针对招标文件的相关质疑、投诉。对招标文件中描述有歧义或前后不一致的地方，评审委员会有权进行评标，但对同一条款的评判应适用于每个投标人</w:t>
      </w:r>
      <w:r>
        <w:rPr>
          <w:rFonts w:hint="eastAsia"/>
        </w:rPr>
        <w:t>。</w:t>
      </w:r>
    </w:p>
    <w:p>
      <w:pPr>
        <w:spacing w:line="360" w:lineRule="auto"/>
        <w:ind w:firstLine="413" w:firstLineChars="196"/>
        <w:rPr>
          <w:rFonts w:ascii="宋体" w:hAnsi="宋体"/>
          <w:b/>
          <w:szCs w:val="21"/>
        </w:rPr>
      </w:pPr>
      <w:r>
        <w:rPr>
          <w:rFonts w:hint="eastAsia" w:ascii="宋体" w:hAnsi="宋体"/>
          <w:b/>
          <w:szCs w:val="21"/>
        </w:rPr>
        <w:t>2.参考品牌的说明</w:t>
      </w:r>
    </w:p>
    <w:p>
      <w:pPr>
        <w:spacing w:line="360" w:lineRule="auto"/>
        <w:ind w:firstLine="411" w:firstLineChars="196"/>
        <w:rPr>
          <w:rFonts w:ascii="宋体" w:hAnsi="宋体"/>
          <w:b/>
          <w:sz w:val="28"/>
          <w:szCs w:val="28"/>
        </w:rPr>
      </w:pPr>
      <w:r>
        <w:rPr>
          <w:rFonts w:hint="eastAsia"/>
        </w:rPr>
        <w:t>招标文件中所涉及产品品牌均为质量“相当于”要求，非指定性要求，投标人可自主选择质量相当的其他品牌产品投标。</w:t>
      </w:r>
    </w:p>
    <w:p>
      <w:pPr>
        <w:spacing w:line="360" w:lineRule="auto"/>
        <w:ind w:firstLine="413" w:firstLineChars="196"/>
        <w:rPr>
          <w:rFonts w:ascii="宋体" w:hAnsi="宋体"/>
          <w:b/>
          <w:szCs w:val="21"/>
        </w:rPr>
      </w:pPr>
      <w:r>
        <w:rPr>
          <w:rFonts w:hint="eastAsia" w:ascii="宋体" w:hAnsi="宋体"/>
          <w:b/>
          <w:szCs w:val="21"/>
        </w:rPr>
        <w:t>3.关于特殊符号的说明</w:t>
      </w:r>
    </w:p>
    <w:p>
      <w:pPr>
        <w:spacing w:line="360" w:lineRule="auto"/>
        <w:ind w:firstLine="411" w:firstLineChars="196"/>
        <w:rPr>
          <w:rFonts w:ascii="宋体" w:hAnsi="宋体"/>
          <w:szCs w:val="21"/>
        </w:rPr>
      </w:pPr>
      <w:r>
        <w:rPr>
          <w:rFonts w:hint="eastAsia" w:ascii="宋体" w:hAnsi="宋体"/>
          <w:szCs w:val="21"/>
        </w:rPr>
        <w:t>（1）</w:t>
      </w:r>
      <w:r>
        <w:rPr>
          <w:rFonts w:hint="eastAsia" w:ascii="宋体" w:hAnsi="宋体"/>
          <w:b/>
          <w:color w:val="FF0000"/>
          <w:szCs w:val="21"/>
        </w:rPr>
        <w:t>招标文件中标注“★”的条款均为废标条款</w:t>
      </w:r>
      <w:r>
        <w:rPr>
          <w:rFonts w:hint="eastAsia" w:ascii="宋体" w:hAnsi="宋体"/>
          <w:szCs w:val="21"/>
        </w:rPr>
        <w:t>，投标文件对其中任意一条不满足的将作废标处理。</w:t>
      </w:r>
    </w:p>
    <w:p>
      <w:pPr>
        <w:spacing w:line="360" w:lineRule="auto"/>
        <w:ind w:firstLine="411" w:firstLineChars="196"/>
        <w:rPr>
          <w:rFonts w:ascii="宋体" w:hAnsi="宋体"/>
          <w:b/>
          <w:szCs w:val="21"/>
        </w:rPr>
      </w:pPr>
      <w:r>
        <w:rPr>
          <w:rFonts w:hint="eastAsia" w:ascii="宋体" w:hAnsi="宋体"/>
          <w:szCs w:val="21"/>
        </w:rPr>
        <w:t>（2）招标文件中标注“</w:t>
      </w:r>
      <w:r>
        <w:rPr>
          <w:rFonts w:hint="eastAsia" w:ascii="宋体" w:hAnsi="宋体" w:cs="宋体"/>
          <w:szCs w:val="21"/>
        </w:rPr>
        <w:t>▲</w:t>
      </w:r>
      <w:r>
        <w:rPr>
          <w:rFonts w:hint="eastAsia" w:ascii="宋体" w:hAnsi="宋体"/>
          <w:szCs w:val="21"/>
        </w:rPr>
        <w:t>”的条款均为重要条款，仅作为综合评分时的重要依据</w:t>
      </w:r>
      <w:r>
        <w:rPr>
          <w:rFonts w:hint="eastAsia" w:ascii="宋体" w:hAnsi="宋体"/>
          <w:b/>
          <w:szCs w:val="21"/>
        </w:rPr>
        <w:t>。</w:t>
      </w:r>
    </w:p>
    <w:p>
      <w:pPr>
        <w:spacing w:line="360" w:lineRule="auto"/>
        <w:ind w:firstLine="422" w:firstLineChars="200"/>
        <w:rPr>
          <w:rFonts w:ascii="宋体" w:hAnsi="宋体"/>
          <w:szCs w:val="21"/>
        </w:rPr>
      </w:pPr>
      <w:r>
        <w:rPr>
          <w:rFonts w:hint="eastAsia" w:ascii="宋体" w:hAnsi="宋体"/>
          <w:b/>
          <w:szCs w:val="21"/>
        </w:rPr>
        <w:t>4．</w:t>
      </w:r>
      <w:r>
        <w:rPr>
          <w:rFonts w:hint="eastAsia"/>
          <w:b/>
        </w:rPr>
        <w:t>政策导向</w:t>
      </w:r>
    </w:p>
    <w:p>
      <w:pPr>
        <w:spacing w:line="360" w:lineRule="auto"/>
        <w:ind w:firstLine="420" w:firstLineChars="200"/>
        <w:rPr>
          <w:rFonts w:ascii="宋体" w:hAnsi="宋体"/>
        </w:rPr>
      </w:pPr>
      <w:r>
        <w:rPr>
          <w:rFonts w:hint="eastAsia" w:asciiTheme="minorEastAsia" w:hAnsiTheme="minorEastAsia" w:eastAsiaTheme="minorEastAsia"/>
        </w:rPr>
        <w:t>4.1</w:t>
      </w:r>
      <w:r>
        <w:rPr>
          <w:rFonts w:hint="eastAsia" w:ascii="宋体" w:hAnsi="宋体"/>
        </w:rPr>
        <w:t>政府采购应当支持节能减排、环境保护，在技术、服务等指标满足采购需求的前提下，依照有关规定优先采购清单范围内的产品（如清单内容有调整或更新，则以最新的清单内容为准）。具体清单包括：财政部、国家发展和改革委员会制定的《节能产品政府采购清单》以及财政部、环境保护部制定的《环境标志产品政府采购清单》中列示的产品，详见中国政府采购网（</w:t>
      </w:r>
      <w:r>
        <w:rPr>
          <w:rFonts w:ascii="宋体" w:hAnsi="宋体"/>
        </w:rPr>
        <w:t>http://</w:t>
      </w:r>
      <w:r>
        <w:rPr>
          <w:rFonts w:hint="eastAsia" w:ascii="宋体" w:hAnsi="宋体"/>
        </w:rPr>
        <w:t>www.ccgp.gov.cn）；市财政委、市发展改革委共同制定的《深圳市政府采购循环经济产品(服务)目录》中列示的产品。</w:t>
      </w:r>
    </w:p>
    <w:p>
      <w:pPr>
        <w:spacing w:line="360" w:lineRule="auto"/>
        <w:ind w:firstLine="420" w:firstLineChars="200"/>
        <w:rPr>
          <w:rFonts w:ascii="宋体" w:hAnsi="宋体"/>
        </w:rPr>
      </w:pPr>
      <w:r>
        <w:rPr>
          <w:rFonts w:hint="eastAsia" w:asciiTheme="minorEastAsia" w:hAnsiTheme="minorEastAsia" w:eastAsiaTheme="minorEastAsia"/>
        </w:rPr>
        <w:t>4.2</w:t>
      </w:r>
      <w:r>
        <w:rPr>
          <w:rFonts w:hint="eastAsia" w:ascii="宋体" w:hAnsi="宋体"/>
        </w:rPr>
        <w:t>政府采购应当扶持中小企业发展，按照中共中央办公厅、国务院办公厅印发《关于促进中小企业健康发展的指导意见》以及财政部、工业和信息化部《关于印发&lt;政府采购促进中小企业发展管理办法&gt;的通知》（财库〔2020〕46号）的要求，对于符合《工业和信息化部、国家统计局、国家发展和改革委员会、财政部关于印发中小企业划型标准规定的通知》（工信部联企业〔2011〕300号）中划型标准的中小企业，可依法享有相应的政府采购优惠政策。</w:t>
      </w:r>
    </w:p>
    <w:p>
      <w:pPr>
        <w:spacing w:line="360" w:lineRule="auto"/>
        <w:ind w:firstLine="422" w:firstLineChars="200"/>
        <w:rPr>
          <w:b/>
        </w:rPr>
      </w:pPr>
      <w:r>
        <w:rPr>
          <w:rFonts w:hint="eastAsia"/>
          <w:b/>
        </w:rPr>
        <w:t>5.关于招标文件“申请人的资格要求第6点第1款”的释义：</w:t>
      </w:r>
    </w:p>
    <w:p>
      <w:pPr>
        <w:spacing w:line="360" w:lineRule="auto"/>
        <w:ind w:firstLine="422" w:firstLineChars="200"/>
        <w:rPr>
          <w:rFonts w:ascii="宋体" w:hAnsi="宋体"/>
          <w:b/>
          <w:bCs/>
        </w:rPr>
      </w:pPr>
      <w:r>
        <w:rPr>
          <w:rFonts w:hint="eastAsia" w:ascii="宋体" w:hAnsi="宋体"/>
          <w:b/>
          <w:bCs/>
        </w:rPr>
        <w:t>5.1单位负责人</w:t>
      </w:r>
      <w:r>
        <w:rPr>
          <w:rFonts w:hint="eastAsia" w:ascii="宋体" w:hAnsi="宋体"/>
        </w:rPr>
        <w:t>，是指单位法定代表人或者法律、行政法规规定代表单位行使职权的主要负责人。</w:t>
      </w:r>
      <w:r>
        <w:rPr>
          <w:rFonts w:hint="eastAsia" w:ascii="宋体" w:hAnsi="宋体"/>
          <w:b/>
          <w:bCs/>
        </w:rPr>
        <w:t>控股关系</w:t>
      </w:r>
      <w:r>
        <w:rPr>
          <w:rFonts w:hint="eastAsia" w:ascii="宋体" w:hAnsi="宋体"/>
        </w:rPr>
        <w:t>，是指单位或个人股东的控股关系。</w:t>
      </w:r>
      <w:r>
        <w:rPr>
          <w:rFonts w:hint="eastAsia" w:ascii="宋体" w:hAnsi="宋体"/>
          <w:b/>
          <w:bCs/>
        </w:rPr>
        <w:t>控股股东</w:t>
      </w:r>
      <w:r>
        <w:rPr>
          <w:rFonts w:hint="eastAsia" w:ascii="宋体" w:hAnsi="宋体"/>
        </w:rPr>
        <w:t>，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r>
        <w:rPr>
          <w:rFonts w:hint="eastAsia" w:ascii="宋体" w:hAnsi="宋体"/>
          <w:b/>
          <w:bCs/>
        </w:rPr>
        <w:t>管理关系</w:t>
      </w:r>
      <w:r>
        <w:rPr>
          <w:rFonts w:hint="eastAsia" w:ascii="宋体" w:hAnsi="宋体"/>
        </w:rPr>
        <w:t>，是指不具有出资持股关系的其他单位之间存在的管理与被管理关系，如一些上下级关系的事业单位和团体组织。</w:t>
      </w:r>
      <w:r>
        <w:rPr>
          <w:rFonts w:hint="eastAsia" w:ascii="宋体" w:hAnsi="宋体"/>
          <w:b/>
          <w:bCs/>
        </w:rPr>
        <w:t>上述规定的控股、管理关系仅限于直接控股、直接管理关系，不包括间接的控股或管理关系。</w:t>
      </w:r>
    </w:p>
    <w:p>
      <w:pPr>
        <w:spacing w:line="360" w:lineRule="auto"/>
        <w:ind w:firstLine="420" w:firstLineChars="200"/>
        <w:rPr>
          <w:rFonts w:ascii="宋体" w:hAnsi="宋体"/>
          <w:b/>
          <w:bCs/>
        </w:rPr>
      </w:pPr>
      <w:r>
        <w:rPr>
          <w:rFonts w:hint="eastAsia" w:ascii="宋体" w:hAnsi="宋体"/>
        </w:rPr>
        <w:t>5.2在项目开评标过程中，将通过查看供应商投标文件、对比供应商股权信息等方式，认真核查同一项目中不同投标供应商之间，是否存在单位负责人为同一人或者存在直接控股、管理关系的情况。</w:t>
      </w:r>
      <w:r>
        <w:rPr>
          <w:rFonts w:hint="eastAsia" w:ascii="宋体" w:hAnsi="宋体"/>
          <w:b/>
          <w:bCs/>
        </w:rPr>
        <w:t>对疑似存在上述情形的供应商，将被要求在评标现场合理的时间内提供书面说明（必要时还需提交相关证明材料）。</w:t>
      </w:r>
    </w:p>
    <w:p>
      <w:pPr>
        <w:spacing w:line="360" w:lineRule="auto"/>
        <w:ind w:firstLine="422" w:firstLineChars="200"/>
        <w:rPr>
          <w:rFonts w:ascii="宋体" w:hAnsi="宋体"/>
          <w:b/>
          <w:bCs/>
        </w:rPr>
      </w:pPr>
      <w:r>
        <w:rPr>
          <w:rFonts w:hint="eastAsia" w:ascii="宋体" w:hAnsi="宋体"/>
          <w:b/>
          <w:bCs/>
        </w:rPr>
        <w:t>5.3经核实，投标供应商确实存在《中华人民共和国政府采购法实施条例》第十八条第一款规定情形的，其投标将被依法认定为无效。</w:t>
      </w:r>
    </w:p>
    <w:p>
      <w:r>
        <w:br w:type="page"/>
      </w:r>
    </w:p>
    <w:p>
      <w:pPr>
        <w:pStyle w:val="5"/>
        <w:rPr>
          <w:sz w:val="24"/>
          <w:szCs w:val="24"/>
        </w:rPr>
      </w:pPr>
      <w:bookmarkStart w:id="247" w:name="_Toc30144"/>
      <w:bookmarkStart w:id="248" w:name="_Toc5512"/>
      <w:bookmarkStart w:id="249" w:name="_Toc128884461"/>
      <w:r>
        <w:rPr>
          <w:rFonts w:hint="eastAsia"/>
          <w:sz w:val="24"/>
          <w:szCs w:val="24"/>
        </w:rPr>
        <w:t>一、实质性条款</w:t>
      </w:r>
      <w:bookmarkEnd w:id="247"/>
      <w:r>
        <w:rPr>
          <w:rFonts w:hint="eastAsia"/>
          <w:sz w:val="24"/>
          <w:szCs w:val="24"/>
        </w:rPr>
        <w:t>（不可负偏离条款）</w:t>
      </w:r>
      <w:bookmarkEnd w:id="248"/>
    </w:p>
    <w:p>
      <w:pPr>
        <w:rPr>
          <w:b/>
          <w:color w:val="FF0000"/>
        </w:rPr>
      </w:pPr>
      <w:r>
        <w:rPr>
          <w:rFonts w:hint="eastAsia"/>
          <w:b/>
          <w:color w:val="FF0000"/>
        </w:rPr>
        <w:t>（一）</w:t>
      </w:r>
      <w:r>
        <w:rPr>
          <w:rFonts w:hint="eastAsia" w:hAnsi="宋体"/>
          <w:b/>
          <w:color w:val="FF0000"/>
          <w:kern w:val="0"/>
          <w:szCs w:val="21"/>
        </w:rPr>
        <w:t>完全满足本项目服务期限的要求。</w:t>
      </w:r>
    </w:p>
    <w:bookmarkEnd w:id="249"/>
    <w:p>
      <w:pPr>
        <w:pStyle w:val="5"/>
        <w:rPr>
          <w:sz w:val="24"/>
          <w:szCs w:val="24"/>
        </w:rPr>
      </w:pPr>
      <w:bookmarkStart w:id="250" w:name="_Toc12808"/>
      <w:bookmarkStart w:id="251" w:name="_Toc6954"/>
      <w:r>
        <w:rPr>
          <w:rFonts w:hint="eastAsia"/>
          <w:sz w:val="24"/>
          <w:szCs w:val="24"/>
        </w:rPr>
        <w:t>二、项目概况</w:t>
      </w:r>
      <w:bookmarkEnd w:id="250"/>
      <w:bookmarkEnd w:id="251"/>
    </w:p>
    <w:p>
      <w:pPr>
        <w:ind w:firstLine="316" w:firstLineChars="150"/>
        <w:rPr>
          <w:rFonts w:ascii="宋体" w:hAnsi="宋体"/>
          <w:b/>
          <w:szCs w:val="21"/>
        </w:rPr>
      </w:pPr>
      <w:r>
        <w:rPr>
          <w:rFonts w:hint="eastAsia" w:ascii="宋体" w:hAnsi="宋体"/>
          <w:b/>
          <w:szCs w:val="21"/>
        </w:rPr>
        <w:t>（一）</w:t>
      </w:r>
      <w:r>
        <w:rPr>
          <w:rFonts w:ascii="宋体" w:hAnsi="宋体"/>
          <w:b/>
          <w:szCs w:val="21"/>
        </w:rPr>
        <w:t>预算</w:t>
      </w:r>
      <w:r>
        <w:rPr>
          <w:rFonts w:hint="eastAsia" w:ascii="宋体" w:hAnsi="宋体"/>
          <w:b/>
          <w:szCs w:val="21"/>
        </w:rPr>
        <w:t>金额: ¥240,000.00，</w:t>
      </w:r>
      <w:r>
        <w:rPr>
          <w:rFonts w:ascii="宋体" w:hAnsi="宋体"/>
          <w:b/>
          <w:szCs w:val="21"/>
        </w:rPr>
        <w:t>最高投标限价</w:t>
      </w:r>
      <w:r>
        <w:rPr>
          <w:rFonts w:hint="eastAsia" w:ascii="宋体" w:hAnsi="宋体"/>
          <w:b/>
          <w:szCs w:val="21"/>
        </w:rPr>
        <w:t>: ¥240,000.00</w:t>
      </w:r>
    </w:p>
    <w:p>
      <w:pPr>
        <w:ind w:firstLine="316" w:firstLineChars="150"/>
        <w:rPr>
          <w:b/>
        </w:rPr>
      </w:pPr>
      <w:r>
        <w:rPr>
          <w:rFonts w:hint="eastAsia" w:ascii="宋体" w:hAnsi="宋体"/>
          <w:b/>
          <w:szCs w:val="21"/>
        </w:rPr>
        <w:t>（二）项目</w:t>
      </w:r>
      <w:r>
        <w:rPr>
          <w:rFonts w:hint="eastAsia"/>
          <w:b/>
        </w:rPr>
        <w:t>概况: 本项目为深圳市医疗保障局宝安分局保安服务项目</w:t>
      </w:r>
    </w:p>
    <w:p>
      <w:pPr>
        <w:ind w:firstLine="420" w:firstLineChars="200"/>
      </w:pPr>
    </w:p>
    <w:p>
      <w:pPr>
        <w:pStyle w:val="5"/>
        <w:spacing w:before="156" w:beforeLines="50" w:after="156" w:afterLines="50"/>
        <w:rPr>
          <w:sz w:val="24"/>
          <w:szCs w:val="24"/>
        </w:rPr>
      </w:pPr>
      <w:bookmarkStart w:id="252" w:name="_Toc2134"/>
      <w:bookmarkStart w:id="253" w:name="_Toc25670"/>
      <w:r>
        <w:rPr>
          <w:rFonts w:hint="eastAsia"/>
          <w:sz w:val="24"/>
          <w:szCs w:val="24"/>
        </w:rPr>
        <w:t>三、项目技术要求</w:t>
      </w:r>
      <w:bookmarkEnd w:id="252"/>
      <w:bookmarkEnd w:id="253"/>
    </w:p>
    <w:p>
      <w:pPr>
        <w:pStyle w:val="2"/>
        <w:spacing w:line="360" w:lineRule="auto"/>
        <w:ind w:left="0" w:leftChars="0" w:firstLine="0" w:firstLineChars="0"/>
        <w:outlineLvl w:val="1"/>
        <w:rPr>
          <w:rFonts w:ascii="宋体" w:hAnsi="宋体" w:cs="宋体"/>
          <w:b/>
          <w:szCs w:val="21"/>
        </w:rPr>
      </w:pPr>
      <w:bookmarkStart w:id="254" w:name="_Toc14471"/>
      <w:r>
        <w:rPr>
          <w:rFonts w:hint="eastAsia" w:ascii="宋体" w:hAnsi="宋体" w:cs="宋体"/>
          <w:b/>
          <w:szCs w:val="21"/>
        </w:rPr>
        <w:t>（一）</w:t>
      </w:r>
      <w:r>
        <w:rPr>
          <w:rFonts w:hint="eastAsia" w:ascii="宋体" w:hAnsi="宋体" w:cs="宋体"/>
          <w:b/>
          <w:kern w:val="0"/>
          <w:szCs w:val="21"/>
        </w:rPr>
        <w:t>服务人员要求</w:t>
      </w:r>
      <w:bookmarkEnd w:id="254"/>
    </w:p>
    <w:p>
      <w:pPr>
        <w:spacing w:line="360" w:lineRule="auto"/>
        <w:rPr>
          <w:rFonts w:ascii="宋体" w:hAnsi="宋体" w:cs="宋体"/>
          <w:kern w:val="0"/>
          <w:szCs w:val="21"/>
        </w:rPr>
      </w:pPr>
      <w:r>
        <w:rPr>
          <w:rFonts w:hint="eastAsia" w:ascii="宋体" w:hAnsi="宋体" w:cs="宋体"/>
          <w:kern w:val="0"/>
          <w:szCs w:val="21"/>
        </w:rPr>
        <w:t>1、提供3名专业保安员需持有保安员证上岗；</w:t>
      </w:r>
    </w:p>
    <w:p>
      <w:pPr>
        <w:spacing w:line="360" w:lineRule="auto"/>
        <w:ind w:left="720" w:hanging="1287"/>
        <w:rPr>
          <w:rFonts w:ascii="宋体" w:hAnsi="宋体" w:cs="宋体"/>
          <w:kern w:val="0"/>
          <w:szCs w:val="21"/>
        </w:rPr>
      </w:pPr>
      <w:r>
        <w:rPr>
          <w:rFonts w:hint="eastAsia" w:ascii="宋体" w:hAnsi="宋体" w:cs="宋体"/>
          <w:kern w:val="0"/>
          <w:szCs w:val="21"/>
        </w:rPr>
        <w:t xml:space="preserve">     2、必须保证安保人员的到勤率；</w:t>
      </w:r>
    </w:p>
    <w:p>
      <w:pPr>
        <w:tabs>
          <w:tab w:val="left" w:pos="1440"/>
        </w:tabs>
        <w:spacing w:line="360" w:lineRule="auto"/>
        <w:ind w:left="720" w:hanging="1287"/>
        <w:rPr>
          <w:rFonts w:ascii="宋体" w:hAnsi="宋体" w:cs="宋体"/>
          <w:szCs w:val="21"/>
        </w:rPr>
      </w:pPr>
      <w:r>
        <w:rPr>
          <w:rFonts w:hint="eastAsia" w:ascii="宋体" w:hAnsi="宋体" w:cs="宋体"/>
          <w:szCs w:val="21"/>
        </w:rPr>
        <w:t xml:space="preserve">     3、依据项目管理服务的特点，构建精简、高效、专业、合理的管理和组织架构；</w:t>
      </w:r>
    </w:p>
    <w:p>
      <w:pPr>
        <w:tabs>
          <w:tab w:val="left" w:pos="1440"/>
        </w:tabs>
        <w:spacing w:line="360" w:lineRule="auto"/>
        <w:rPr>
          <w:rFonts w:ascii="宋体" w:hAnsi="宋体" w:cs="宋体"/>
          <w:szCs w:val="21"/>
        </w:rPr>
      </w:pPr>
      <w:r>
        <w:rPr>
          <w:rFonts w:hint="eastAsia" w:ascii="宋体" w:hAnsi="宋体" w:cs="宋体"/>
          <w:szCs w:val="21"/>
        </w:rPr>
        <w:t xml:space="preserve">4、依据精干、高效、一专多能、忠于职守的原则配备人员，并结合项目特点，编制员工行为规范和操作性强的服务方案； </w:t>
      </w:r>
    </w:p>
    <w:p>
      <w:pPr>
        <w:tabs>
          <w:tab w:val="left" w:pos="1440"/>
        </w:tabs>
        <w:spacing w:line="360" w:lineRule="auto"/>
        <w:rPr>
          <w:rFonts w:ascii="宋体" w:hAnsi="宋体" w:cs="宋体"/>
          <w:szCs w:val="21"/>
        </w:rPr>
      </w:pPr>
      <w:r>
        <w:rPr>
          <w:rFonts w:hint="eastAsia" w:ascii="宋体" w:hAnsi="宋体" w:cs="宋体"/>
          <w:szCs w:val="21"/>
        </w:rPr>
        <w:t>5、安保人员应经常性培训，包括进驻前培训、过程培训、技术培训、专业演练、法规知识培训等。每月整建制集中理论学习不少于4 小时；规范化执勤、消防灭火、防暴训练等不少于4 小时，并列入安保队伍考核；</w:t>
      </w:r>
    </w:p>
    <w:p>
      <w:pPr>
        <w:spacing w:line="360" w:lineRule="auto"/>
        <w:rPr>
          <w:rFonts w:ascii="宋体" w:hAnsi="宋体" w:cs="宋体"/>
          <w:szCs w:val="21"/>
        </w:rPr>
      </w:pPr>
      <w:r>
        <w:rPr>
          <w:rFonts w:hint="eastAsia" w:ascii="宋体" w:hAnsi="宋体" w:cs="宋体"/>
          <w:szCs w:val="21"/>
        </w:rPr>
        <w:t>6、安保队员：身体健康，五官端正，无纹身。男性：身高173CM以上，40周岁以下；具有高中以上文化水平，无违法犯罪记录，退伍军人优先。</w:t>
      </w:r>
    </w:p>
    <w:p>
      <w:pPr>
        <w:spacing w:line="360" w:lineRule="auto"/>
        <w:jc w:val="left"/>
        <w:textAlignment w:val="baseline"/>
        <w:outlineLvl w:val="1"/>
        <w:rPr>
          <w:rFonts w:ascii="宋体" w:hAnsi="宋体" w:cs="宋体"/>
          <w:b/>
          <w:szCs w:val="21"/>
        </w:rPr>
      </w:pPr>
      <w:bookmarkStart w:id="255" w:name="_Toc11014"/>
      <w:r>
        <w:rPr>
          <w:rFonts w:hint="eastAsia" w:ascii="宋体" w:hAnsi="宋体" w:cs="宋体"/>
          <w:b/>
          <w:szCs w:val="21"/>
        </w:rPr>
        <w:t>（二）工作质量要求</w:t>
      </w:r>
      <w:bookmarkEnd w:id="255"/>
    </w:p>
    <w:p>
      <w:pPr>
        <w:tabs>
          <w:tab w:val="left" w:pos="1440"/>
        </w:tabs>
        <w:spacing w:line="360" w:lineRule="auto"/>
        <w:rPr>
          <w:rFonts w:ascii="宋体" w:hAnsi="宋体" w:cs="宋体"/>
          <w:szCs w:val="21"/>
        </w:rPr>
      </w:pPr>
      <w:r>
        <w:rPr>
          <w:rFonts w:hint="eastAsia" w:ascii="宋体" w:hAnsi="宋体" w:cs="宋体"/>
          <w:szCs w:val="21"/>
        </w:rPr>
        <w:t>1、安全保卫工作和维持办公秩序的整体设想和应急预案应完备、实用；</w:t>
      </w:r>
    </w:p>
    <w:p>
      <w:pPr>
        <w:tabs>
          <w:tab w:val="left" w:pos="1440"/>
        </w:tabs>
        <w:spacing w:line="360" w:lineRule="auto"/>
        <w:rPr>
          <w:rFonts w:ascii="宋体" w:hAnsi="宋体" w:cs="宋体"/>
          <w:szCs w:val="21"/>
        </w:rPr>
      </w:pPr>
      <w:r>
        <w:rPr>
          <w:rFonts w:hint="eastAsia" w:ascii="宋体" w:hAnsi="宋体" w:cs="宋体"/>
          <w:szCs w:val="21"/>
        </w:rPr>
        <w:t>2、管理服务中突击性工作与长效管理相结合且有计划性；</w:t>
      </w:r>
    </w:p>
    <w:p>
      <w:pPr>
        <w:spacing w:line="360" w:lineRule="auto"/>
        <w:rPr>
          <w:rFonts w:ascii="宋体" w:hAnsi="宋体" w:cs="宋体"/>
          <w:szCs w:val="21"/>
        </w:rPr>
      </w:pPr>
      <w:r>
        <w:rPr>
          <w:rFonts w:hint="eastAsia" w:ascii="宋体" w:hAnsi="宋体" w:cs="宋体"/>
          <w:szCs w:val="21"/>
        </w:rPr>
        <w:t>3、管理服务质量目标需满足与国际接轨的要求，满足本招标文件规定的标准。并且能够在管理中随时经受行业主管部门的质量审核；</w:t>
      </w:r>
    </w:p>
    <w:p>
      <w:pPr>
        <w:spacing w:line="360" w:lineRule="auto"/>
        <w:textAlignment w:val="baseline"/>
        <w:rPr>
          <w:rFonts w:ascii="宋体" w:hAnsi="宋体" w:cs="宋体"/>
          <w:szCs w:val="21"/>
        </w:rPr>
      </w:pPr>
      <w:r>
        <w:rPr>
          <w:rFonts w:hint="eastAsia" w:ascii="宋体" w:hAnsi="宋体" w:cs="宋体"/>
          <w:szCs w:val="21"/>
        </w:rPr>
        <w:t>4、依照合同提供防范性安全服务，维护采购单位的安全和秩序，防止守护目标受到不法侵害或灾害事故的损害，有效避免服务提供方或安保秩序人员责任造成经济损失，满足采购单位安全需求。</w:t>
      </w:r>
    </w:p>
    <w:p>
      <w:pPr>
        <w:spacing w:line="360" w:lineRule="auto"/>
        <w:textAlignment w:val="baseline"/>
        <w:outlineLvl w:val="1"/>
        <w:rPr>
          <w:rFonts w:ascii="宋体" w:hAnsi="宋体" w:cs="宋体"/>
          <w:b/>
          <w:szCs w:val="21"/>
        </w:rPr>
      </w:pPr>
      <w:bookmarkStart w:id="256" w:name="_Toc19397"/>
      <w:r>
        <w:rPr>
          <w:rFonts w:hint="eastAsia" w:ascii="宋体" w:hAnsi="宋体" w:cs="宋体"/>
          <w:b/>
          <w:szCs w:val="21"/>
        </w:rPr>
        <w:t>（三）服务成果要求</w:t>
      </w:r>
      <w:bookmarkEnd w:id="256"/>
    </w:p>
    <w:p>
      <w:pPr>
        <w:spacing w:line="360" w:lineRule="auto"/>
        <w:ind w:firstLine="420" w:firstLineChars="200"/>
        <w:rPr>
          <w:rFonts w:ascii="宋体" w:hAnsi="宋体" w:cs="宋体"/>
          <w:szCs w:val="21"/>
        </w:rPr>
      </w:pPr>
      <w:r>
        <w:rPr>
          <w:rFonts w:hint="eastAsia" w:ascii="宋体" w:hAnsi="宋体" w:cs="宋体"/>
          <w:szCs w:val="21"/>
        </w:rPr>
        <w:t>保证所管区域的正常秩序，协助公安机关打击不法分子对正常办公秩序的干扰，特别严防各类恐怖暴力事件。防范失火、失盗、破坏等各种突发事件能及时处理控制，制订有针对性的应急预案，为我局提供安全的工作环境：</w:t>
      </w:r>
    </w:p>
    <w:p>
      <w:pPr>
        <w:spacing w:line="360" w:lineRule="auto"/>
        <w:rPr>
          <w:rFonts w:ascii="宋体" w:hAnsi="宋体" w:cs="宋体"/>
          <w:szCs w:val="21"/>
        </w:rPr>
      </w:pPr>
      <w:r>
        <w:rPr>
          <w:rFonts w:hint="eastAsia" w:ascii="宋体" w:hAnsi="宋体" w:cs="宋体"/>
          <w:szCs w:val="21"/>
        </w:rPr>
        <w:t xml:space="preserve">    1、在合同期内无重大安全事故发生 。（本合同的重大安全事故是指造成重大人身伤亡或者造成重大经济损失的事故：①一次死亡1人；②一次重伤3人以上；③重大火灾事故(着火面积达到300m</w:t>
      </w:r>
      <w:r>
        <w:rPr>
          <w:rFonts w:hint="eastAsia" w:ascii="宋体" w:hAnsi="宋体" w:cs="宋体"/>
          <w:szCs w:val="21"/>
          <w:vertAlign w:val="superscript"/>
        </w:rPr>
        <w:t>2</w:t>
      </w:r>
      <w:r>
        <w:rPr>
          <w:rFonts w:hint="eastAsia" w:ascii="宋体" w:hAnsi="宋体" w:cs="宋体"/>
          <w:szCs w:val="21"/>
        </w:rPr>
        <w:t>以上)；④一次造成重大直接经济损失的(20万元以上)；</w:t>
      </w:r>
    </w:p>
    <w:p>
      <w:pPr>
        <w:spacing w:line="360" w:lineRule="auto"/>
        <w:rPr>
          <w:rFonts w:ascii="宋体" w:hAnsi="宋体" w:cs="宋体"/>
          <w:szCs w:val="21"/>
        </w:rPr>
      </w:pPr>
      <w:r>
        <w:rPr>
          <w:rFonts w:hint="eastAsia" w:ascii="宋体" w:hAnsi="宋体" w:cs="宋体"/>
          <w:szCs w:val="21"/>
        </w:rPr>
        <w:t xml:space="preserve">    2、制定保安管理发展规划，有计划、有检查，满意率达</w:t>
      </w:r>
      <w:r>
        <w:rPr>
          <w:rFonts w:hint="eastAsia" w:ascii="宋体" w:hAnsi="宋体" w:cs="宋体"/>
          <w:szCs w:val="21"/>
          <w:u w:val="single"/>
        </w:rPr>
        <w:t>95</w:t>
      </w:r>
      <w:r>
        <w:rPr>
          <w:rFonts w:hint="eastAsia" w:ascii="宋体" w:hAnsi="宋体" w:cs="宋体"/>
          <w:szCs w:val="21"/>
        </w:rPr>
        <w:t xml:space="preserve"> %以上；</w:t>
      </w:r>
    </w:p>
    <w:p>
      <w:pPr>
        <w:spacing w:line="360" w:lineRule="auto"/>
        <w:rPr>
          <w:rFonts w:ascii="宋体" w:hAnsi="宋体" w:cs="宋体"/>
          <w:szCs w:val="21"/>
        </w:rPr>
      </w:pPr>
      <w:r>
        <w:rPr>
          <w:rFonts w:hint="eastAsia" w:ascii="宋体" w:hAnsi="宋体" w:cs="宋体"/>
          <w:szCs w:val="21"/>
        </w:rPr>
        <w:t xml:space="preserve">    3、有效投诉处理率达 100 %；</w:t>
      </w:r>
    </w:p>
    <w:p>
      <w:pPr>
        <w:spacing w:line="360" w:lineRule="auto"/>
        <w:ind w:firstLine="420" w:firstLineChars="200"/>
        <w:rPr>
          <w:rFonts w:ascii="宋体" w:hAnsi="宋体" w:cs="宋体"/>
          <w:szCs w:val="21"/>
        </w:rPr>
      </w:pPr>
      <w:r>
        <w:rPr>
          <w:rFonts w:hint="eastAsia" w:ascii="宋体" w:hAnsi="宋体" w:cs="宋体"/>
          <w:szCs w:val="21"/>
        </w:rPr>
        <w:t>4、公共配套设施、设备完好率达到 100 %</w:t>
      </w:r>
      <w:r>
        <w:rPr>
          <w:rFonts w:ascii="宋体" w:hAnsi="宋体" w:cs="宋体"/>
          <w:szCs w:val="21"/>
        </w:rPr>
        <w:t>。</w:t>
      </w:r>
    </w:p>
    <w:p>
      <w:pPr>
        <w:spacing w:line="360" w:lineRule="auto"/>
        <w:jc w:val="left"/>
        <w:textAlignment w:val="baseline"/>
        <w:outlineLvl w:val="1"/>
        <w:rPr>
          <w:rFonts w:ascii="宋体" w:hAnsi="宋体" w:cs="宋体"/>
          <w:b/>
          <w:szCs w:val="21"/>
        </w:rPr>
      </w:pPr>
      <w:bookmarkStart w:id="257" w:name="_Toc15494"/>
      <w:r>
        <w:rPr>
          <w:rFonts w:hint="eastAsia" w:ascii="宋体" w:hAnsi="宋体" w:cs="宋体"/>
          <w:b/>
          <w:szCs w:val="21"/>
        </w:rPr>
        <w:t>（四）服务内容</w:t>
      </w:r>
      <w:r>
        <w:rPr>
          <w:rFonts w:ascii="宋体" w:hAnsi="宋体" w:cs="宋体"/>
          <w:b/>
          <w:szCs w:val="21"/>
        </w:rPr>
        <w:t>要求</w:t>
      </w:r>
      <w:bookmarkEnd w:id="257"/>
    </w:p>
    <w:p>
      <w:pPr>
        <w:pStyle w:val="144"/>
        <w:spacing w:line="360" w:lineRule="auto"/>
        <w:ind w:firstLine="420" w:firstLineChars="200"/>
        <w:rPr>
          <w:rFonts w:ascii="宋体" w:hAnsi="宋体" w:cs="宋体"/>
          <w:sz w:val="21"/>
          <w:szCs w:val="21"/>
        </w:rPr>
      </w:pPr>
      <w:r>
        <w:rPr>
          <w:rFonts w:hint="eastAsia" w:ascii="宋体" w:hAnsi="宋体" w:cs="宋体"/>
          <w:sz w:val="21"/>
          <w:szCs w:val="21"/>
        </w:rPr>
        <w:t>负责服务范围内治安巡防、安全保卫、设施防盗以及消防、“三防”工作，负责维护深圳市医疗保障局服务秩序、停车场车辆安全管理，协助我局工作人员整顿办公秩序，负责我局电子实时监控等，并按照我局的管理模式对保安队员进行管理，依据双方确认的岗位职责要求，执行安全防范任务，承担相应的保安服务责任，具体如下：</w:t>
      </w:r>
    </w:p>
    <w:p>
      <w:pPr>
        <w:pStyle w:val="144"/>
        <w:spacing w:line="360" w:lineRule="auto"/>
        <w:ind w:firstLine="420" w:firstLineChars="200"/>
        <w:rPr>
          <w:rFonts w:ascii="宋体" w:hAnsi="宋体" w:cs="宋体"/>
          <w:sz w:val="21"/>
          <w:szCs w:val="21"/>
        </w:rPr>
      </w:pPr>
      <w:r>
        <w:rPr>
          <w:rFonts w:hint="eastAsia" w:ascii="宋体" w:hAnsi="宋体" w:cs="宋体"/>
          <w:sz w:val="21"/>
          <w:szCs w:val="21"/>
        </w:rPr>
        <w:t>1、做好护卫区域内“防火、防盗、防破坏、防自然灾害”等 工作，发现隐患及时报告，并主动协助整改；</w:t>
      </w:r>
    </w:p>
    <w:p>
      <w:pPr>
        <w:pStyle w:val="144"/>
        <w:spacing w:line="360" w:lineRule="auto"/>
        <w:ind w:firstLine="420" w:firstLineChars="200"/>
        <w:rPr>
          <w:rFonts w:ascii="宋体" w:hAnsi="宋体" w:cs="宋体"/>
          <w:sz w:val="21"/>
          <w:szCs w:val="21"/>
        </w:rPr>
      </w:pPr>
      <w:r>
        <w:rPr>
          <w:rFonts w:hint="eastAsia" w:ascii="宋体" w:hAnsi="宋体" w:cs="宋体"/>
          <w:sz w:val="21"/>
          <w:szCs w:val="21"/>
        </w:rPr>
        <w:t xml:space="preserve">2、保安护卫范围包门卫、巡逻、安全检查、消防监控，加强护卫区域内的设施、设备及场所安全管理；                      </w:t>
      </w:r>
    </w:p>
    <w:p>
      <w:pPr>
        <w:pStyle w:val="144"/>
        <w:spacing w:line="360" w:lineRule="auto"/>
        <w:ind w:firstLine="420" w:firstLineChars="200"/>
        <w:rPr>
          <w:rFonts w:ascii="宋体" w:hAnsi="宋体" w:cs="宋体"/>
          <w:sz w:val="21"/>
          <w:szCs w:val="21"/>
        </w:rPr>
      </w:pPr>
      <w:r>
        <w:rPr>
          <w:rFonts w:hint="eastAsia" w:ascii="宋体" w:hAnsi="宋体" w:cs="宋体"/>
          <w:sz w:val="21"/>
          <w:szCs w:val="21"/>
        </w:rPr>
        <w:t>3、对来访人员做好接待、登记工作；</w:t>
      </w:r>
    </w:p>
    <w:p>
      <w:pPr>
        <w:spacing w:line="360" w:lineRule="auto"/>
        <w:ind w:firstLine="420" w:firstLineChars="200"/>
        <w:rPr>
          <w:rFonts w:ascii="宋体" w:hAnsi="宋体" w:cs="宋体"/>
          <w:szCs w:val="21"/>
        </w:rPr>
      </w:pPr>
      <w:r>
        <w:rPr>
          <w:rFonts w:hint="eastAsia" w:ascii="宋体" w:hAnsi="宋体" w:cs="宋体"/>
          <w:szCs w:val="21"/>
        </w:rPr>
        <w:t>4、法律法规以及合同中规定的其它工作以及临时交办的工作；</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5、遵守我局内部的各项规章制度，对我局内部的机密事项，不准随意打听、记录、传播；</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6、有重要情况要妥善处置并及时上报。不准迟报、漏报、隐瞒不报；</w:t>
      </w:r>
    </w:p>
    <w:p>
      <w:pPr>
        <w:spacing w:line="360" w:lineRule="auto"/>
        <w:ind w:firstLine="420" w:firstLineChars="200"/>
        <w:textAlignment w:val="baseline"/>
        <w:rPr>
          <w:rFonts w:ascii="宋体" w:hAnsi="宋体" w:cs="宋体"/>
          <w:szCs w:val="21"/>
        </w:rPr>
      </w:pPr>
      <w:r>
        <w:rPr>
          <w:rFonts w:hint="eastAsia" w:ascii="宋体" w:hAnsi="宋体" w:cs="宋体"/>
          <w:szCs w:val="21"/>
        </w:rPr>
        <w:t>7、要认真填写值班记录，做好交接班工作。</w:t>
      </w:r>
    </w:p>
    <w:p>
      <w:pPr>
        <w:rPr>
          <w:b/>
        </w:rPr>
      </w:pPr>
    </w:p>
    <w:p>
      <w:pPr>
        <w:pStyle w:val="5"/>
        <w:spacing w:before="156" w:beforeLines="50" w:after="156" w:afterLines="50"/>
        <w:rPr>
          <w:sz w:val="24"/>
          <w:szCs w:val="24"/>
        </w:rPr>
      </w:pPr>
      <w:bookmarkStart w:id="258" w:name="_Toc28089"/>
      <w:bookmarkStart w:id="259" w:name="_Toc32313"/>
      <w:r>
        <w:rPr>
          <w:rFonts w:hint="eastAsia"/>
          <w:sz w:val="24"/>
          <w:szCs w:val="24"/>
        </w:rPr>
        <w:t>四、项目商务要求</w:t>
      </w:r>
      <w:bookmarkEnd w:id="258"/>
      <w:bookmarkEnd w:id="259"/>
    </w:p>
    <w:p>
      <w:pPr>
        <w:spacing w:line="360" w:lineRule="auto"/>
        <w:rPr>
          <w:b/>
          <w:bCs/>
          <w:color w:val="FF0000"/>
        </w:rPr>
      </w:pPr>
      <w:r>
        <w:rPr>
          <w:rFonts w:hint="eastAsia" w:ascii="宋体" w:hAnsi="宋体"/>
          <w:b/>
          <w:color w:val="FF0000"/>
          <w:szCs w:val="21"/>
        </w:rPr>
        <w:t>★</w:t>
      </w:r>
      <w:r>
        <w:rPr>
          <w:rFonts w:hint="eastAsia"/>
          <w:b/>
          <w:bCs/>
          <w:color w:val="FF0000"/>
        </w:rPr>
        <w:t>（一）服务期限：</w:t>
      </w:r>
    </w:p>
    <w:p>
      <w:pPr>
        <w:pStyle w:val="14"/>
        <w:spacing w:before="78" w:beforeLines="25" w:after="78" w:afterLines="25"/>
        <w:ind w:firstLine="392" w:firstLineChars="187"/>
        <w:rPr>
          <w:rFonts w:ascii="宋体" w:hAnsi="宋体"/>
          <w:sz w:val="21"/>
          <w:szCs w:val="21"/>
        </w:rPr>
      </w:pPr>
      <w:r>
        <w:rPr>
          <w:rFonts w:hint="eastAsia" w:ascii="宋体" w:hAnsi="宋体"/>
          <w:sz w:val="21"/>
          <w:szCs w:val="21"/>
        </w:rPr>
        <w:t>本项目合同履行期限为自合同签订之日起一年。本项目合同履行期限满后，采购人对中标人履约情况出履约考核报告。采购人可根据中标人履约情况确定合同是否续签，合同一年一签，第一年为本次招标的中标合同履行期限，最多可续签两次。</w:t>
      </w:r>
    </w:p>
    <w:p/>
    <w:p>
      <w:pPr>
        <w:spacing w:line="360" w:lineRule="auto"/>
        <w:rPr>
          <w:b/>
          <w:bCs/>
        </w:rPr>
      </w:pPr>
      <w:r>
        <w:rPr>
          <w:rFonts w:hint="eastAsia"/>
          <w:b/>
          <w:bCs/>
        </w:rPr>
        <w:t>（二）付款方式：</w:t>
      </w:r>
    </w:p>
    <w:p>
      <w:pPr>
        <w:spacing w:line="360" w:lineRule="auto"/>
      </w:pPr>
      <w:r>
        <w:rPr>
          <w:rFonts w:hint="eastAsia"/>
        </w:rPr>
        <w:t>采购人应在每月 10 日前以转账支票向中标人支付当月的服务（劳务）费。</w:t>
      </w:r>
    </w:p>
    <w:p/>
    <w:p>
      <w:pPr>
        <w:pStyle w:val="5"/>
        <w:spacing w:before="156" w:beforeLines="50" w:after="156" w:afterLines="50"/>
        <w:rPr>
          <w:sz w:val="24"/>
          <w:szCs w:val="24"/>
        </w:rPr>
      </w:pPr>
      <w:bookmarkStart w:id="260" w:name="_Toc5746"/>
      <w:bookmarkStart w:id="261" w:name="_Toc12429"/>
      <w:r>
        <w:rPr>
          <w:rFonts w:hint="eastAsia"/>
          <w:sz w:val="24"/>
          <w:szCs w:val="24"/>
        </w:rPr>
        <w:t>五、投标报价</w:t>
      </w:r>
      <w:bookmarkEnd w:id="260"/>
      <w:bookmarkEnd w:id="261"/>
    </w:p>
    <w:p>
      <w:pPr>
        <w:pStyle w:val="14"/>
        <w:spacing w:before="78" w:beforeLines="25" w:after="78" w:afterLines="25"/>
        <w:ind w:firstLine="392" w:firstLineChars="187"/>
        <w:rPr>
          <w:rFonts w:ascii="宋体" w:hAnsi="宋体"/>
          <w:sz w:val="21"/>
          <w:szCs w:val="21"/>
        </w:rPr>
      </w:pPr>
      <w:r>
        <w:rPr>
          <w:rFonts w:hint="eastAsia" w:ascii="宋体" w:hAnsi="宋体"/>
          <w:sz w:val="21"/>
          <w:szCs w:val="21"/>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pPr>
        <w:pStyle w:val="14"/>
        <w:spacing w:before="78" w:beforeLines="25" w:after="78" w:afterLines="25"/>
        <w:ind w:firstLine="392" w:firstLineChars="187"/>
        <w:rPr>
          <w:rFonts w:ascii="宋体" w:hAnsi="宋体"/>
          <w:sz w:val="21"/>
          <w:szCs w:val="21"/>
        </w:rPr>
      </w:pPr>
      <w:r>
        <w:rPr>
          <w:rFonts w:hint="eastAsia" w:ascii="宋体" w:hAnsi="宋体"/>
          <w:sz w:val="21"/>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4"/>
        <w:spacing w:before="78" w:beforeLines="25" w:after="78" w:afterLines="25"/>
        <w:ind w:firstLine="392" w:firstLineChars="187"/>
        <w:rPr>
          <w:rFonts w:ascii="宋体" w:hAnsi="宋体"/>
          <w:sz w:val="21"/>
          <w:szCs w:val="21"/>
        </w:rPr>
      </w:pPr>
      <w:r>
        <w:rPr>
          <w:rFonts w:hint="eastAsia" w:ascii="宋体" w:hAnsi="宋体"/>
          <w:sz w:val="21"/>
          <w:szCs w:val="21"/>
        </w:rPr>
        <w:t>3.投标人的投标报价，应是本项目招标范围和招标文件及合同条款上所列的各项内容中所述的全部，不得以任何理由予以重复，并以投标人在投标文件中提出的综合单价或总价为依据。</w:t>
      </w:r>
    </w:p>
    <w:p>
      <w:pPr>
        <w:pStyle w:val="14"/>
        <w:spacing w:before="78" w:beforeLines="25" w:after="78" w:afterLines="25"/>
        <w:ind w:firstLine="392" w:firstLineChars="187"/>
        <w:rPr>
          <w:rFonts w:ascii="宋体" w:hAnsi="宋体"/>
          <w:sz w:val="21"/>
          <w:szCs w:val="21"/>
        </w:rPr>
      </w:pPr>
      <w:r>
        <w:rPr>
          <w:rFonts w:hint="eastAsia" w:ascii="宋体" w:hAnsi="宋体"/>
          <w:sz w:val="21"/>
          <w:szCs w:val="21"/>
        </w:rPr>
        <w:t>4.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pStyle w:val="14"/>
        <w:spacing w:before="78" w:beforeLines="25" w:after="78" w:afterLines="25"/>
        <w:ind w:firstLine="392" w:firstLineChars="187"/>
        <w:rPr>
          <w:rFonts w:ascii="宋体" w:hAnsi="宋体"/>
          <w:sz w:val="21"/>
          <w:szCs w:val="21"/>
        </w:rPr>
      </w:pPr>
      <w:r>
        <w:rPr>
          <w:rFonts w:hint="eastAsia" w:ascii="宋体" w:hAnsi="宋体"/>
          <w:sz w:val="21"/>
          <w:szCs w:val="21"/>
        </w:rPr>
        <w:t>5.投标人应充分了解项目的位置、情况、道路及任何其它足以影响投标报价的情况，任何因忽视或误解项目情况而导致的索赔或服务期限延长申请将不获批准。</w:t>
      </w:r>
    </w:p>
    <w:p>
      <w:pPr>
        <w:autoSpaceDE w:val="0"/>
        <w:autoSpaceDN w:val="0"/>
        <w:adjustRightInd w:val="0"/>
        <w:snapToGrid w:val="0"/>
        <w:spacing w:line="360" w:lineRule="auto"/>
        <w:ind w:firstLine="420" w:firstLineChars="200"/>
        <w:rPr>
          <w:rFonts w:ascii="宋体" w:hAnsi="宋体"/>
          <w:color w:val="000000"/>
          <w:szCs w:val="21"/>
        </w:rPr>
      </w:pPr>
      <w:r>
        <w:rPr>
          <w:rFonts w:hint="eastAsia" w:ascii="宋体" w:hAnsi="宋体"/>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pPr>
        <w:pStyle w:val="5"/>
        <w:sectPr>
          <w:pgSz w:w="11906" w:h="16838"/>
          <w:pgMar w:top="1440" w:right="1800" w:bottom="1440" w:left="1800" w:header="851" w:footer="992" w:gutter="0"/>
          <w:cols w:space="425" w:num="1"/>
          <w:titlePg/>
          <w:docGrid w:type="lines" w:linePitch="312" w:charSpace="0"/>
        </w:sectPr>
      </w:pPr>
    </w:p>
    <w:p>
      <w:pPr>
        <w:pStyle w:val="5"/>
        <w:jc w:val="center"/>
      </w:pPr>
      <w:bookmarkStart w:id="262" w:name="_Toc10815"/>
      <w:r>
        <w:rPr>
          <w:rFonts w:hint="eastAsia"/>
        </w:rPr>
        <w:t>第四章合同条款及格式</w:t>
      </w:r>
      <w:bookmarkEnd w:id="262"/>
    </w:p>
    <w:p>
      <w:pPr>
        <w:jc w:val="center"/>
      </w:pPr>
      <w:bookmarkStart w:id="263" w:name="合同协议书"/>
      <w:r>
        <w:rPr>
          <w:rFonts w:hint="eastAsia"/>
        </w:rPr>
        <w:t>（合同格式供参考）</w:t>
      </w:r>
    </w:p>
    <w:p>
      <w:pPr>
        <w:spacing w:line="360" w:lineRule="auto"/>
        <w:rPr>
          <w:rFonts w:ascii="宋体" w:hAnsi="宋体"/>
          <w:szCs w:val="21"/>
        </w:rPr>
      </w:pPr>
      <w:r>
        <w:rPr>
          <w:rFonts w:hint="eastAsia" w:ascii="宋体" w:hAnsi="宋体"/>
          <w:szCs w:val="21"/>
        </w:rPr>
        <w:t>甲方（采购单位）：</w:t>
      </w:r>
    </w:p>
    <w:p>
      <w:pPr>
        <w:spacing w:line="360" w:lineRule="auto"/>
        <w:rPr>
          <w:rFonts w:ascii="宋体" w:hAnsi="宋体"/>
          <w:szCs w:val="21"/>
        </w:rPr>
      </w:pPr>
      <w:r>
        <w:rPr>
          <w:rFonts w:hint="eastAsia" w:ascii="宋体" w:hAnsi="宋体"/>
          <w:szCs w:val="21"/>
        </w:rPr>
        <w:t>乙方（服务单位）：</w:t>
      </w:r>
    </w:p>
    <w:p>
      <w:pPr>
        <w:spacing w:line="360" w:lineRule="auto"/>
        <w:rPr>
          <w:rFonts w:ascii="宋体" w:hAnsi="宋体"/>
          <w:szCs w:val="21"/>
        </w:rPr>
      </w:pPr>
    </w:p>
    <w:p>
      <w:pPr>
        <w:snapToGrid w:val="0"/>
        <w:ind w:firstLine="420" w:firstLineChars="200"/>
        <w:rPr>
          <w:rFonts w:ascii="宋体" w:hAnsi="宋体"/>
          <w:szCs w:val="21"/>
        </w:rPr>
      </w:pPr>
      <w:r>
        <w:rPr>
          <w:rFonts w:hint="eastAsia" w:ascii="宋体" w:hAnsi="宋体"/>
          <w:szCs w:val="21"/>
        </w:rPr>
        <w:t>根据友和保险经纪有限公司（项目编号__________________）招标项目的投标结果，由_______________________单位为中标供应商。按照《中华人民共和国民法典》和《深圳经济特区政府采购条例》，经深圳市_______________________（以下简称甲方）和_______________________单位（以下简称乙方）协商，就_______________________</w:t>
      </w:r>
      <w:r>
        <w:rPr>
          <w:rFonts w:hint="eastAsia" w:ascii="宋体" w:hAnsi="宋体"/>
          <w:bCs/>
          <w:snapToGrid w:val="0"/>
          <w:kern w:val="0"/>
          <w:szCs w:val="21"/>
          <w:lang w:val="zh-CN"/>
        </w:rPr>
        <w:t>服务项目</w:t>
      </w:r>
      <w:r>
        <w:rPr>
          <w:rFonts w:hint="eastAsia" w:ascii="宋体" w:hAnsi="宋体"/>
          <w:szCs w:val="21"/>
        </w:rPr>
        <w:t>，达成以下合同条款：</w:t>
      </w:r>
    </w:p>
    <w:p>
      <w:pPr>
        <w:pStyle w:val="23"/>
        <w:snapToGrid w:val="0"/>
        <w:ind w:firstLine="420" w:firstLineChars="200"/>
        <w:rPr>
          <w:rFonts w:hAnsi="宋体"/>
          <w:szCs w:val="21"/>
        </w:rPr>
      </w:pPr>
      <w:r>
        <w:rPr>
          <w:rFonts w:hint="eastAsia" w:hAnsi="宋体"/>
          <w:szCs w:val="21"/>
        </w:rPr>
        <w:t>一、服务内容</w:t>
      </w:r>
    </w:p>
    <w:p>
      <w:pPr>
        <w:pStyle w:val="23"/>
        <w:snapToGrid w:val="0"/>
        <w:ind w:firstLine="420" w:firstLineChars="200"/>
        <w:rPr>
          <w:rFonts w:hAnsi="宋体"/>
          <w:szCs w:val="21"/>
        </w:rPr>
      </w:pPr>
      <w:r>
        <w:rPr>
          <w:rFonts w:hint="eastAsia" w:hAnsi="宋体"/>
          <w:szCs w:val="21"/>
        </w:rPr>
        <w:t>二、合同金额</w:t>
      </w:r>
    </w:p>
    <w:p>
      <w:pPr>
        <w:pStyle w:val="23"/>
        <w:snapToGrid w:val="0"/>
        <w:ind w:firstLine="420" w:firstLineChars="200"/>
        <w:rPr>
          <w:rFonts w:hAnsi="宋体"/>
          <w:szCs w:val="21"/>
        </w:rPr>
      </w:pPr>
      <w:r>
        <w:rPr>
          <w:rFonts w:hint="eastAsia" w:hAnsi="宋体"/>
          <w:szCs w:val="21"/>
        </w:rPr>
        <w:t>本合同金额为（大写）：____________________________________元（￥_______________元）人民币。</w:t>
      </w:r>
    </w:p>
    <w:p>
      <w:pPr>
        <w:pStyle w:val="23"/>
        <w:snapToGrid w:val="0"/>
        <w:ind w:firstLine="420" w:firstLineChars="200"/>
        <w:rPr>
          <w:rFonts w:hAnsi="宋体"/>
          <w:szCs w:val="21"/>
        </w:rPr>
      </w:pPr>
      <w:r>
        <w:rPr>
          <w:rFonts w:hint="eastAsia" w:hAnsi="宋体"/>
          <w:szCs w:val="21"/>
        </w:rPr>
        <w:t>三、技术资料</w:t>
      </w:r>
    </w:p>
    <w:p>
      <w:pPr>
        <w:pStyle w:val="23"/>
        <w:snapToGrid w:val="0"/>
        <w:ind w:firstLine="420" w:firstLineChars="200"/>
        <w:rPr>
          <w:rFonts w:hAnsi="宋体"/>
          <w:szCs w:val="21"/>
        </w:rPr>
      </w:pPr>
      <w:r>
        <w:rPr>
          <w:rFonts w:hint="eastAsia" w:hAnsi="宋体"/>
          <w:szCs w:val="21"/>
        </w:rPr>
        <w:t>1、乙方应按招标文件规定的时间向甲方提供有关技术资料。</w:t>
      </w:r>
    </w:p>
    <w:p>
      <w:pPr>
        <w:pStyle w:val="23"/>
        <w:snapToGrid w:val="0"/>
        <w:ind w:firstLine="420" w:firstLineChars="200"/>
        <w:rPr>
          <w:rFonts w:hAnsi="宋体"/>
          <w:szCs w:val="21"/>
        </w:rPr>
      </w:pPr>
      <w:r>
        <w:rPr>
          <w:rFonts w:hint="eastAsia" w:hAnsi="宋体"/>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3"/>
        <w:snapToGrid w:val="0"/>
        <w:ind w:firstLine="420" w:firstLineChars="200"/>
        <w:rPr>
          <w:rFonts w:hAnsi="宋体"/>
          <w:szCs w:val="21"/>
        </w:rPr>
      </w:pPr>
      <w:r>
        <w:rPr>
          <w:rFonts w:hint="eastAsia" w:hAnsi="宋体"/>
          <w:szCs w:val="21"/>
        </w:rPr>
        <w:t>3、合同履行完毕，未经甲方的书面同意，乙方不得保存在履行合同过程中所获得或接触到的任何内部数据资料。</w:t>
      </w:r>
    </w:p>
    <w:p>
      <w:pPr>
        <w:pStyle w:val="23"/>
        <w:snapToGrid w:val="0"/>
        <w:ind w:firstLine="420" w:firstLineChars="200"/>
        <w:rPr>
          <w:rFonts w:hAnsi="宋体"/>
          <w:szCs w:val="21"/>
        </w:rPr>
      </w:pPr>
      <w:r>
        <w:rPr>
          <w:rFonts w:hint="eastAsia" w:hAnsi="宋体"/>
          <w:szCs w:val="21"/>
        </w:rPr>
        <w:t>四、知识产权</w:t>
      </w:r>
    </w:p>
    <w:p>
      <w:pPr>
        <w:pStyle w:val="23"/>
        <w:snapToGrid w:val="0"/>
        <w:ind w:firstLine="420" w:firstLineChars="200"/>
        <w:rPr>
          <w:rFonts w:hAnsi="宋体"/>
          <w:bCs/>
          <w:szCs w:val="21"/>
        </w:rPr>
      </w:pPr>
      <w:r>
        <w:rPr>
          <w:rFonts w:hint="eastAsia" w:hAnsi="宋体"/>
          <w:szCs w:val="21"/>
        </w:rPr>
        <w:t>乙方应保证提供服务过程中不会侵犯任何第三方的知识产权</w:t>
      </w:r>
      <w:r>
        <w:rPr>
          <w:rFonts w:hint="eastAsia" w:hAnsi="宋体"/>
          <w:bCs/>
          <w:szCs w:val="21"/>
        </w:rPr>
        <w:t>。</w:t>
      </w:r>
    </w:p>
    <w:p>
      <w:pPr>
        <w:pStyle w:val="23"/>
        <w:snapToGrid w:val="0"/>
        <w:ind w:firstLine="420" w:firstLineChars="200"/>
        <w:rPr>
          <w:rFonts w:hAnsi="宋体"/>
          <w:szCs w:val="21"/>
        </w:rPr>
      </w:pPr>
      <w:r>
        <w:rPr>
          <w:rFonts w:hint="eastAsia" w:hAnsi="宋体"/>
          <w:szCs w:val="21"/>
        </w:rPr>
        <w:t>五、履约保证金</w:t>
      </w:r>
    </w:p>
    <w:p>
      <w:pPr>
        <w:pStyle w:val="23"/>
        <w:snapToGrid w:val="0"/>
        <w:ind w:firstLine="420" w:firstLineChars="200"/>
        <w:rPr>
          <w:rFonts w:hAnsi="宋体"/>
          <w:szCs w:val="21"/>
        </w:rPr>
      </w:pPr>
      <w:r>
        <w:rPr>
          <w:rFonts w:hint="eastAsia" w:hAnsi="宋体"/>
          <w:szCs w:val="21"/>
        </w:rPr>
        <w:t>乙方交纳人民币_______________________作为本合同的履约保证金。</w:t>
      </w:r>
    </w:p>
    <w:p>
      <w:pPr>
        <w:snapToGrid w:val="0"/>
        <w:ind w:firstLine="420" w:firstLineChars="200"/>
        <w:rPr>
          <w:rFonts w:ascii="宋体" w:hAnsi="宋体"/>
          <w:szCs w:val="21"/>
        </w:rPr>
      </w:pPr>
      <w:r>
        <w:rPr>
          <w:rFonts w:hint="eastAsia" w:ascii="宋体" w:hAnsi="宋体"/>
          <w:szCs w:val="21"/>
        </w:rPr>
        <w:t>六、甲方的权利与义务</w:t>
      </w:r>
    </w:p>
    <w:p>
      <w:pPr>
        <w:snapToGrid w:val="0"/>
        <w:ind w:firstLine="420" w:firstLineChars="200"/>
        <w:rPr>
          <w:rFonts w:ascii="宋体" w:hAnsi="宋体"/>
          <w:szCs w:val="21"/>
        </w:rPr>
      </w:pPr>
      <w:r>
        <w:rPr>
          <w:rFonts w:hint="eastAsia" w:ascii="宋体" w:hAnsi="宋体"/>
          <w:szCs w:val="21"/>
        </w:rPr>
        <w:t>1、_______________________</w:t>
      </w:r>
    </w:p>
    <w:p>
      <w:pPr>
        <w:snapToGrid w:val="0"/>
        <w:ind w:firstLine="420" w:firstLineChars="200"/>
        <w:rPr>
          <w:rFonts w:ascii="宋体" w:hAnsi="宋体"/>
          <w:szCs w:val="21"/>
        </w:rPr>
      </w:pPr>
      <w:r>
        <w:rPr>
          <w:rFonts w:hint="eastAsia" w:ascii="宋体" w:hAnsi="宋体"/>
          <w:szCs w:val="21"/>
        </w:rPr>
        <w:t>2、_______________________</w:t>
      </w:r>
    </w:p>
    <w:p>
      <w:pPr>
        <w:snapToGrid w:val="0"/>
        <w:ind w:firstLine="420" w:firstLineChars="200"/>
        <w:rPr>
          <w:rFonts w:ascii="宋体" w:hAnsi="宋体"/>
          <w:szCs w:val="21"/>
        </w:rPr>
      </w:pPr>
      <w:r>
        <w:rPr>
          <w:rFonts w:hint="eastAsia" w:ascii="宋体" w:hAnsi="宋体"/>
          <w:szCs w:val="21"/>
        </w:rPr>
        <w:t>3、_______________________</w:t>
      </w:r>
    </w:p>
    <w:p>
      <w:pPr>
        <w:snapToGrid w:val="0"/>
        <w:ind w:firstLine="420" w:firstLineChars="200"/>
        <w:rPr>
          <w:rFonts w:ascii="宋体" w:hAnsi="宋体"/>
          <w:szCs w:val="21"/>
        </w:rPr>
      </w:pPr>
      <w:r>
        <w:rPr>
          <w:rFonts w:hint="eastAsia" w:ascii="宋体" w:hAnsi="宋体"/>
          <w:szCs w:val="21"/>
        </w:rPr>
        <w:t>4、_______________________</w:t>
      </w:r>
    </w:p>
    <w:p>
      <w:pPr>
        <w:snapToGrid w:val="0"/>
        <w:ind w:firstLine="420" w:firstLineChars="200"/>
        <w:rPr>
          <w:rFonts w:ascii="宋体" w:hAnsi="宋体"/>
          <w:szCs w:val="21"/>
        </w:rPr>
      </w:pPr>
      <w:r>
        <w:rPr>
          <w:rFonts w:hint="eastAsia" w:ascii="宋体" w:hAnsi="宋体"/>
          <w:szCs w:val="21"/>
        </w:rPr>
        <w:t>5、甲方的其它权利与义务_______________________</w:t>
      </w:r>
    </w:p>
    <w:p>
      <w:pPr>
        <w:snapToGrid w:val="0"/>
        <w:ind w:firstLine="420" w:firstLineChars="200"/>
        <w:rPr>
          <w:rFonts w:ascii="宋体" w:hAnsi="宋体"/>
          <w:szCs w:val="21"/>
        </w:rPr>
      </w:pPr>
      <w:r>
        <w:rPr>
          <w:rFonts w:hint="eastAsia" w:ascii="宋体" w:hAnsi="宋体"/>
          <w:szCs w:val="21"/>
        </w:rPr>
        <w:t>七、乙方的权利与义务</w:t>
      </w:r>
    </w:p>
    <w:p>
      <w:pPr>
        <w:snapToGrid w:val="0"/>
        <w:ind w:firstLine="420" w:firstLineChars="200"/>
        <w:rPr>
          <w:rFonts w:ascii="宋体" w:hAnsi="宋体"/>
          <w:szCs w:val="21"/>
        </w:rPr>
      </w:pPr>
      <w:r>
        <w:rPr>
          <w:rFonts w:hint="eastAsia" w:ascii="宋体" w:hAnsi="宋体"/>
          <w:szCs w:val="21"/>
        </w:rPr>
        <w:t>1、_______________________</w:t>
      </w:r>
    </w:p>
    <w:p>
      <w:pPr>
        <w:snapToGrid w:val="0"/>
        <w:ind w:firstLine="420" w:firstLineChars="200"/>
        <w:rPr>
          <w:rFonts w:ascii="宋体" w:hAnsi="宋体"/>
          <w:szCs w:val="21"/>
        </w:rPr>
      </w:pPr>
      <w:r>
        <w:rPr>
          <w:rFonts w:hint="eastAsia" w:ascii="宋体" w:hAnsi="宋体"/>
          <w:szCs w:val="21"/>
        </w:rPr>
        <w:t>2、_______________________</w:t>
      </w:r>
    </w:p>
    <w:p>
      <w:pPr>
        <w:snapToGrid w:val="0"/>
        <w:ind w:firstLine="420" w:firstLineChars="200"/>
        <w:rPr>
          <w:rFonts w:ascii="宋体" w:hAnsi="宋体"/>
          <w:szCs w:val="21"/>
        </w:rPr>
      </w:pPr>
      <w:r>
        <w:rPr>
          <w:rFonts w:hint="eastAsia" w:ascii="宋体" w:hAnsi="宋体"/>
          <w:szCs w:val="21"/>
        </w:rPr>
        <w:t>3、_______________________</w:t>
      </w:r>
    </w:p>
    <w:p>
      <w:pPr>
        <w:snapToGrid w:val="0"/>
        <w:ind w:firstLine="420" w:firstLineChars="200"/>
        <w:rPr>
          <w:rFonts w:ascii="宋体" w:hAnsi="宋体"/>
          <w:szCs w:val="21"/>
        </w:rPr>
      </w:pPr>
      <w:r>
        <w:rPr>
          <w:rFonts w:hint="eastAsia" w:ascii="宋体" w:hAnsi="宋体"/>
          <w:szCs w:val="21"/>
        </w:rPr>
        <w:t>4、_______________________</w:t>
      </w:r>
    </w:p>
    <w:p>
      <w:pPr>
        <w:snapToGrid w:val="0"/>
        <w:ind w:firstLine="420" w:firstLineChars="200"/>
        <w:rPr>
          <w:rFonts w:ascii="宋体" w:hAnsi="宋体"/>
          <w:szCs w:val="21"/>
        </w:rPr>
      </w:pPr>
      <w:r>
        <w:rPr>
          <w:rFonts w:hint="eastAsia" w:ascii="宋体" w:hAnsi="宋体"/>
          <w:szCs w:val="21"/>
        </w:rPr>
        <w:t>5、乙方的其它权利与义务_______________________</w:t>
      </w:r>
    </w:p>
    <w:p>
      <w:pPr>
        <w:pStyle w:val="23"/>
        <w:snapToGrid w:val="0"/>
        <w:ind w:firstLine="420" w:firstLineChars="200"/>
        <w:rPr>
          <w:rFonts w:hAnsi="宋体"/>
          <w:szCs w:val="21"/>
        </w:rPr>
      </w:pPr>
      <w:r>
        <w:rPr>
          <w:rFonts w:hint="eastAsia" w:hAnsi="宋体"/>
          <w:szCs w:val="21"/>
        </w:rPr>
        <w:t>八、合同履行时间、履行方式及履行地点</w:t>
      </w:r>
    </w:p>
    <w:p>
      <w:pPr>
        <w:pStyle w:val="23"/>
        <w:snapToGrid w:val="0"/>
        <w:ind w:firstLine="420" w:firstLineChars="200"/>
        <w:rPr>
          <w:rFonts w:hAnsi="宋体"/>
          <w:bCs/>
          <w:szCs w:val="21"/>
        </w:rPr>
      </w:pPr>
      <w:r>
        <w:rPr>
          <w:rFonts w:hint="eastAsia" w:hAnsi="宋体"/>
          <w:bCs/>
          <w:szCs w:val="21"/>
        </w:rPr>
        <w:t xml:space="preserve">1. </w:t>
      </w:r>
      <w:r>
        <w:rPr>
          <w:rFonts w:hint="eastAsia" w:hAnsi="宋体"/>
          <w:szCs w:val="21"/>
        </w:rPr>
        <w:t>履行时间</w:t>
      </w:r>
      <w:r>
        <w:rPr>
          <w:rFonts w:hint="eastAsia" w:hAnsi="宋体"/>
          <w:bCs/>
          <w:szCs w:val="21"/>
        </w:rPr>
        <w:t>：</w:t>
      </w:r>
      <w:r>
        <w:rPr>
          <w:rFonts w:hint="eastAsia" w:hAnsi="宋体"/>
          <w:szCs w:val="21"/>
        </w:rPr>
        <w:t>_______________________</w:t>
      </w:r>
    </w:p>
    <w:p>
      <w:pPr>
        <w:pStyle w:val="23"/>
        <w:snapToGrid w:val="0"/>
        <w:ind w:firstLine="420" w:firstLineChars="200"/>
        <w:rPr>
          <w:rFonts w:hAnsi="宋体"/>
          <w:bCs/>
          <w:szCs w:val="21"/>
        </w:rPr>
      </w:pPr>
      <w:r>
        <w:rPr>
          <w:rFonts w:hint="eastAsia" w:hAnsi="宋体"/>
          <w:bCs/>
          <w:szCs w:val="21"/>
        </w:rPr>
        <w:t xml:space="preserve">2. </w:t>
      </w:r>
      <w:r>
        <w:rPr>
          <w:rFonts w:hint="eastAsia" w:hAnsi="宋体"/>
          <w:szCs w:val="21"/>
        </w:rPr>
        <w:t>履行方式</w:t>
      </w:r>
      <w:r>
        <w:rPr>
          <w:rFonts w:hint="eastAsia" w:hAnsi="宋体"/>
          <w:bCs/>
          <w:szCs w:val="21"/>
        </w:rPr>
        <w:t>：</w:t>
      </w:r>
      <w:r>
        <w:rPr>
          <w:rFonts w:hint="eastAsia" w:hAnsi="宋体"/>
          <w:szCs w:val="21"/>
        </w:rPr>
        <w:t>_______________________</w:t>
      </w:r>
    </w:p>
    <w:p>
      <w:pPr>
        <w:pStyle w:val="23"/>
        <w:snapToGrid w:val="0"/>
        <w:ind w:firstLine="420" w:firstLineChars="200"/>
        <w:rPr>
          <w:rFonts w:hAnsi="宋体"/>
          <w:szCs w:val="21"/>
        </w:rPr>
      </w:pPr>
      <w:r>
        <w:rPr>
          <w:rFonts w:hint="eastAsia" w:hAnsi="宋体"/>
          <w:bCs/>
          <w:szCs w:val="21"/>
        </w:rPr>
        <w:t xml:space="preserve">3. </w:t>
      </w:r>
      <w:r>
        <w:rPr>
          <w:rFonts w:hint="eastAsia" w:hAnsi="宋体"/>
          <w:szCs w:val="21"/>
        </w:rPr>
        <w:t>履行地点</w:t>
      </w:r>
      <w:r>
        <w:rPr>
          <w:rFonts w:hint="eastAsia" w:hAnsi="宋体"/>
          <w:bCs/>
          <w:szCs w:val="21"/>
        </w:rPr>
        <w:t>：</w:t>
      </w:r>
      <w:r>
        <w:rPr>
          <w:rFonts w:hint="eastAsia" w:hAnsi="宋体"/>
          <w:szCs w:val="21"/>
        </w:rPr>
        <w:t>_______________________</w:t>
      </w:r>
    </w:p>
    <w:p>
      <w:pPr>
        <w:snapToGrid w:val="0"/>
        <w:ind w:firstLine="420" w:firstLineChars="200"/>
        <w:rPr>
          <w:rFonts w:ascii="宋体" w:hAnsi="宋体"/>
          <w:szCs w:val="21"/>
        </w:rPr>
      </w:pPr>
      <w:r>
        <w:rPr>
          <w:rFonts w:hint="eastAsia" w:ascii="宋体" w:hAnsi="宋体"/>
          <w:szCs w:val="21"/>
        </w:rPr>
        <w:t>九、验收</w:t>
      </w:r>
    </w:p>
    <w:p>
      <w:pPr>
        <w:snapToGrid w:val="0"/>
        <w:ind w:firstLine="420" w:firstLineChars="200"/>
        <w:rPr>
          <w:rFonts w:ascii="宋体" w:hAnsi="宋体"/>
          <w:szCs w:val="21"/>
        </w:rPr>
      </w:pPr>
      <w:r>
        <w:rPr>
          <w:rFonts w:hint="eastAsia" w:ascii="宋体" w:hAnsi="宋体"/>
          <w:szCs w:val="21"/>
        </w:rPr>
        <w:t>1、下列文件的验收分为______个阶段:</w:t>
      </w:r>
    </w:p>
    <w:p>
      <w:pPr>
        <w:snapToGrid w:val="0"/>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snapToGrid w:val="0"/>
        <w:ind w:firstLine="420" w:firstLineChars="200"/>
        <w:rPr>
          <w:rFonts w:ascii="宋体" w:hAnsi="宋体"/>
          <w:szCs w:val="21"/>
        </w:rPr>
      </w:pPr>
      <w:r>
        <w:rPr>
          <w:rFonts w:hint="eastAsia" w:ascii="宋体" w:hAnsi="宋体"/>
          <w:szCs w:val="21"/>
        </w:rPr>
        <w:t>3、验收依据为_____________号招标文件、乙方投标文件，国家和行业有关规范、规程和标准。</w:t>
      </w:r>
    </w:p>
    <w:p>
      <w:pPr>
        <w:pStyle w:val="23"/>
        <w:snapToGrid w:val="0"/>
        <w:ind w:firstLine="420" w:firstLineChars="200"/>
        <w:rPr>
          <w:rFonts w:hAnsi="宋体"/>
          <w:szCs w:val="21"/>
        </w:rPr>
      </w:pPr>
      <w:r>
        <w:rPr>
          <w:rFonts w:hint="eastAsia" w:hAnsi="宋体"/>
          <w:szCs w:val="21"/>
        </w:rPr>
        <w:t>十、付款方式和税费</w:t>
      </w:r>
    </w:p>
    <w:p>
      <w:pPr>
        <w:pStyle w:val="23"/>
        <w:snapToGrid w:val="0"/>
        <w:ind w:firstLine="420" w:firstLineChars="200"/>
        <w:rPr>
          <w:rFonts w:hAnsi="宋体"/>
          <w:bCs/>
          <w:szCs w:val="21"/>
        </w:rPr>
      </w:pPr>
      <w:r>
        <w:rPr>
          <w:rFonts w:hint="eastAsia" w:hAnsi="宋体"/>
          <w:bCs/>
          <w:szCs w:val="21"/>
        </w:rPr>
        <w:t>1、合同签订后_____天内，甲方向乙方支付合同总价_____%的款项。</w:t>
      </w:r>
    </w:p>
    <w:p>
      <w:pPr>
        <w:pStyle w:val="23"/>
        <w:snapToGrid w:val="0"/>
        <w:ind w:firstLine="420" w:firstLineChars="200"/>
        <w:rPr>
          <w:rFonts w:hAnsi="宋体"/>
          <w:bCs/>
          <w:szCs w:val="21"/>
        </w:rPr>
      </w:pPr>
      <w:r>
        <w:rPr>
          <w:rFonts w:hint="eastAsia" w:hAnsi="宋体"/>
          <w:bCs/>
          <w:szCs w:val="21"/>
        </w:rPr>
        <w:t>2、检测完成并提交评估报告后，甲方向乙方支付合同总价_____%的款项。</w:t>
      </w:r>
    </w:p>
    <w:p>
      <w:pPr>
        <w:pStyle w:val="23"/>
        <w:snapToGrid w:val="0"/>
        <w:ind w:firstLine="420" w:firstLineChars="200"/>
        <w:rPr>
          <w:rFonts w:hAnsi="宋体"/>
          <w:bCs/>
          <w:szCs w:val="21"/>
        </w:rPr>
      </w:pPr>
      <w:r>
        <w:rPr>
          <w:rFonts w:hint="eastAsia" w:hAnsi="宋体"/>
          <w:bCs/>
          <w:szCs w:val="21"/>
        </w:rPr>
        <w:t>3、报告通过专家评审后，甲方向乙方支付合同总价_____%的款项。</w:t>
      </w:r>
    </w:p>
    <w:p>
      <w:pPr>
        <w:snapToGrid w:val="0"/>
        <w:ind w:firstLine="420" w:firstLineChars="200"/>
        <w:rPr>
          <w:rFonts w:ascii="宋体" w:hAnsi="宋体"/>
          <w:szCs w:val="21"/>
        </w:rPr>
      </w:pPr>
      <w:r>
        <w:rPr>
          <w:rFonts w:hint="eastAsia" w:ascii="宋体" w:hAnsi="宋体"/>
          <w:szCs w:val="21"/>
        </w:rPr>
        <w:t>本合同执行中相关的一切税费均由乙方负担。</w:t>
      </w:r>
    </w:p>
    <w:p>
      <w:pPr>
        <w:snapToGrid w:val="0"/>
        <w:ind w:firstLine="420" w:firstLineChars="200"/>
        <w:rPr>
          <w:rFonts w:ascii="宋体" w:hAnsi="宋体"/>
          <w:bCs/>
          <w:szCs w:val="21"/>
        </w:rPr>
      </w:pPr>
      <w:r>
        <w:rPr>
          <w:rFonts w:hint="eastAsia" w:ascii="宋体" w:hAnsi="宋体"/>
          <w:szCs w:val="21"/>
        </w:rPr>
        <w:t>十一、</w:t>
      </w:r>
      <w:r>
        <w:rPr>
          <w:rFonts w:hint="eastAsia" w:ascii="宋体" w:hAnsi="宋体"/>
          <w:bCs/>
          <w:szCs w:val="21"/>
        </w:rPr>
        <w:t>争议解决办法</w:t>
      </w:r>
    </w:p>
    <w:p>
      <w:pPr>
        <w:snapToGrid w:val="0"/>
        <w:ind w:firstLine="420" w:firstLineChars="200"/>
        <w:rPr>
          <w:rFonts w:ascii="宋体" w:hAnsi="宋体"/>
          <w:szCs w:val="21"/>
        </w:rPr>
      </w:pPr>
      <w:r>
        <w:rPr>
          <w:rFonts w:hint="eastAsia" w:ascii="宋体" w:hAnsi="宋体"/>
          <w:szCs w:val="21"/>
        </w:rPr>
        <w:t>执行本合同发生的争议，由甲乙双方协商解决。</w:t>
      </w:r>
    </w:p>
    <w:p>
      <w:pPr>
        <w:pStyle w:val="23"/>
        <w:snapToGrid w:val="0"/>
        <w:ind w:firstLine="420" w:firstLineChars="200"/>
        <w:rPr>
          <w:rFonts w:hAnsi="宋体"/>
          <w:szCs w:val="21"/>
        </w:rPr>
      </w:pPr>
      <w:r>
        <w:rPr>
          <w:rFonts w:hint="eastAsia" w:hAnsi="宋体"/>
          <w:szCs w:val="21"/>
        </w:rPr>
        <w:t>十二、违约责任</w:t>
      </w:r>
    </w:p>
    <w:p>
      <w:pPr>
        <w:pStyle w:val="23"/>
        <w:snapToGrid w:val="0"/>
        <w:ind w:firstLine="420" w:firstLineChars="200"/>
        <w:rPr>
          <w:rFonts w:hAnsi="宋体"/>
          <w:szCs w:val="21"/>
        </w:rPr>
      </w:pPr>
      <w:r>
        <w:rPr>
          <w:rFonts w:hint="eastAsia" w:hAnsi="宋体"/>
          <w:szCs w:val="21"/>
        </w:rPr>
        <w:t>1、因乙方原因，未能按规定时间完成有关工作的，每延误一天，甲方可在支付合同余款中扣除合同价款千分之一。</w:t>
      </w:r>
    </w:p>
    <w:p>
      <w:pPr>
        <w:pStyle w:val="23"/>
        <w:snapToGrid w:val="0"/>
        <w:ind w:firstLine="420" w:firstLineChars="200"/>
        <w:rPr>
          <w:rFonts w:hAnsi="宋体"/>
          <w:szCs w:val="21"/>
        </w:rPr>
      </w:pPr>
      <w:r>
        <w:rPr>
          <w:rFonts w:hint="eastAsia" w:hAnsi="宋体"/>
          <w:szCs w:val="21"/>
        </w:rPr>
        <w:t>2、由于乙方原因造成试验成果质量低劣，不能满足大纲要求时，应继续完善试验工作，其费用由乙方承担。</w:t>
      </w:r>
    </w:p>
    <w:p>
      <w:pPr>
        <w:pStyle w:val="23"/>
        <w:snapToGrid w:val="0"/>
        <w:ind w:firstLine="420" w:firstLineChars="200"/>
        <w:rPr>
          <w:rFonts w:hAnsi="宋体"/>
          <w:szCs w:val="21"/>
        </w:rPr>
      </w:pPr>
      <w:r>
        <w:rPr>
          <w:rFonts w:hint="eastAsia" w:hAnsi="宋体"/>
          <w:szCs w:val="21"/>
        </w:rPr>
        <w:t>3、如乙方提供的服务文件不符合质量要求，必须在甲方提出要求后7天内无条件修改，其费用由乙方承担。</w:t>
      </w:r>
    </w:p>
    <w:p>
      <w:pPr>
        <w:snapToGrid w:val="0"/>
        <w:ind w:firstLine="420" w:firstLineChars="200"/>
        <w:rPr>
          <w:rFonts w:ascii="宋体" w:hAnsi="宋体"/>
          <w:szCs w:val="21"/>
        </w:rPr>
      </w:pPr>
      <w:r>
        <w:rPr>
          <w:rFonts w:hint="eastAsia" w:ascii="宋体" w:hAnsi="宋体"/>
          <w:szCs w:val="21"/>
        </w:rPr>
        <w:t>4、__________方违反本合同__________约定，应当__________。</w:t>
      </w:r>
    </w:p>
    <w:p>
      <w:pPr>
        <w:snapToGrid w:val="0"/>
        <w:ind w:firstLine="420" w:firstLineChars="200"/>
        <w:rPr>
          <w:rFonts w:ascii="宋体" w:hAnsi="宋体"/>
          <w:bCs/>
          <w:szCs w:val="21"/>
        </w:rPr>
      </w:pPr>
      <w:r>
        <w:rPr>
          <w:rFonts w:hint="eastAsia" w:ascii="宋体" w:hAnsi="宋体"/>
          <w:szCs w:val="21"/>
        </w:rPr>
        <w:t>十三、</w:t>
      </w:r>
      <w:r>
        <w:rPr>
          <w:rFonts w:hint="eastAsia" w:ascii="宋体" w:hAnsi="宋体"/>
          <w:bCs/>
          <w:szCs w:val="21"/>
        </w:rPr>
        <w:t>其他</w:t>
      </w:r>
    </w:p>
    <w:p>
      <w:pPr>
        <w:snapToGrid w:val="0"/>
        <w:ind w:firstLine="420" w:firstLineChars="200"/>
        <w:rPr>
          <w:rFonts w:ascii="宋体" w:hAnsi="宋体"/>
          <w:szCs w:val="21"/>
        </w:rPr>
      </w:pPr>
      <w:r>
        <w:rPr>
          <w:rFonts w:hint="eastAsia" w:ascii="宋体" w:hAnsi="宋体"/>
          <w:szCs w:val="21"/>
        </w:rPr>
        <w:t>1、本合同与__________号招标文件、乙方投标文件如有抵触之处，以本合同条款为准。</w:t>
      </w:r>
    </w:p>
    <w:p>
      <w:pPr>
        <w:snapToGrid w:val="0"/>
        <w:ind w:firstLine="420" w:firstLineChars="200"/>
        <w:rPr>
          <w:rFonts w:ascii="宋体" w:hAnsi="宋体"/>
          <w:szCs w:val="21"/>
        </w:rPr>
      </w:pPr>
      <w:r>
        <w:rPr>
          <w:rFonts w:hint="eastAsia" w:ascii="宋体" w:hAnsi="宋体"/>
          <w:szCs w:val="21"/>
        </w:rPr>
        <w:t>2、下列文件均为本合同的组成部分：</w:t>
      </w:r>
    </w:p>
    <w:p>
      <w:pPr>
        <w:snapToGrid w:val="0"/>
        <w:ind w:firstLine="420" w:firstLineChars="200"/>
        <w:rPr>
          <w:rFonts w:ascii="宋体" w:hAnsi="宋体"/>
          <w:szCs w:val="21"/>
        </w:rPr>
      </w:pPr>
      <w:r>
        <w:rPr>
          <w:rFonts w:hint="eastAsia" w:ascii="宋体" w:hAnsi="宋体"/>
          <w:szCs w:val="21"/>
        </w:rPr>
        <w:t>（1）__________号招标文件、答疑及补充通知；</w:t>
      </w:r>
    </w:p>
    <w:p>
      <w:pPr>
        <w:snapToGrid w:val="0"/>
        <w:ind w:firstLine="420" w:firstLineChars="200"/>
        <w:rPr>
          <w:rFonts w:ascii="宋体" w:hAnsi="宋体"/>
          <w:szCs w:val="21"/>
        </w:rPr>
      </w:pPr>
      <w:r>
        <w:rPr>
          <w:rFonts w:hint="eastAsia" w:ascii="宋体" w:hAnsi="宋体"/>
          <w:szCs w:val="21"/>
        </w:rPr>
        <w:t>（2）投标文件；</w:t>
      </w:r>
    </w:p>
    <w:p>
      <w:pPr>
        <w:snapToGrid w:val="0"/>
        <w:ind w:firstLine="420" w:firstLineChars="200"/>
        <w:rPr>
          <w:rFonts w:ascii="宋体" w:hAnsi="宋体"/>
          <w:szCs w:val="21"/>
        </w:rPr>
      </w:pPr>
      <w:r>
        <w:rPr>
          <w:rFonts w:hint="eastAsia" w:ascii="宋体" w:hAnsi="宋体"/>
          <w:szCs w:val="21"/>
        </w:rPr>
        <w:t>（3）本合同执行中共同签署的补充与修正文件。</w:t>
      </w:r>
    </w:p>
    <w:p>
      <w:pPr>
        <w:snapToGrid w:val="0"/>
        <w:ind w:firstLine="420" w:firstLineChars="200"/>
        <w:rPr>
          <w:rFonts w:ascii="宋体" w:hAnsi="宋体"/>
          <w:szCs w:val="21"/>
        </w:rPr>
      </w:pPr>
      <w:r>
        <w:rPr>
          <w:rFonts w:hint="eastAsia" w:ascii="宋体" w:hAnsi="宋体"/>
          <w:szCs w:val="21"/>
        </w:rPr>
        <w:t>本合同一式_____份，甲、乙方双方各执_____份，具有同等法律效力。本合同自双方法人代表签字（盖章）认可之日起生效。</w:t>
      </w:r>
    </w:p>
    <w:p>
      <w:pPr>
        <w:snapToGrid w:val="0"/>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pStyle w:val="23"/>
        <w:snapToGrid w:val="0"/>
        <w:ind w:firstLine="420" w:firstLineChars="200"/>
        <w:rPr>
          <w:rFonts w:hAnsi="宋体"/>
          <w:szCs w:val="21"/>
        </w:rPr>
      </w:pPr>
      <w:r>
        <w:rPr>
          <w:rFonts w:hint="eastAsia" w:hAnsi="宋体"/>
          <w:szCs w:val="21"/>
        </w:rPr>
        <w:t>附件：</w:t>
      </w:r>
    </w:p>
    <w:p>
      <w:pPr>
        <w:snapToGrid w:val="0"/>
        <w:ind w:firstLine="420" w:firstLineChars="200"/>
        <w:rPr>
          <w:rFonts w:ascii="宋体" w:hAnsi="宋体"/>
          <w:szCs w:val="21"/>
        </w:rPr>
      </w:pPr>
      <w:r>
        <w:rPr>
          <w:rFonts w:hint="eastAsia" w:ascii="宋体" w:hAnsi="宋体"/>
          <w:szCs w:val="21"/>
        </w:rPr>
        <w:t>1、《中标/成交通知书》；</w:t>
      </w:r>
    </w:p>
    <w:p>
      <w:pPr>
        <w:snapToGrid w:val="0"/>
        <w:ind w:firstLine="420" w:firstLineChars="200"/>
        <w:rPr>
          <w:rFonts w:ascii="宋体" w:hAnsi="宋体"/>
          <w:szCs w:val="21"/>
        </w:rPr>
      </w:pPr>
      <w:r>
        <w:rPr>
          <w:rFonts w:hint="eastAsia" w:ascii="宋体" w:hAnsi="宋体"/>
          <w:szCs w:val="21"/>
        </w:rPr>
        <w:t>2、《投标文件》；</w:t>
      </w:r>
    </w:p>
    <w:p>
      <w:pPr>
        <w:snapToGrid w:val="0"/>
        <w:ind w:firstLine="420" w:firstLineChars="200"/>
        <w:rPr>
          <w:rFonts w:ascii="宋体" w:hAnsi="宋体"/>
          <w:szCs w:val="21"/>
        </w:rPr>
      </w:pPr>
      <w:r>
        <w:rPr>
          <w:rFonts w:hint="eastAsia" w:ascii="宋体" w:hAnsi="宋体"/>
          <w:szCs w:val="21"/>
        </w:rPr>
        <w:t>3、《招标文件》。</w:t>
      </w:r>
    </w:p>
    <w:p>
      <w:pPr>
        <w:pStyle w:val="23"/>
        <w:snapToGrid w:val="0"/>
        <w:ind w:firstLine="420" w:firstLineChars="200"/>
        <w:rPr>
          <w:rFonts w:hAnsi="宋体"/>
          <w:szCs w:val="21"/>
        </w:rPr>
      </w:pPr>
    </w:p>
    <w:p>
      <w:pPr>
        <w:snapToGrid w:val="0"/>
        <w:ind w:firstLine="200"/>
        <w:rPr>
          <w:rFonts w:ascii="宋体" w:hAnsi="宋体"/>
          <w:szCs w:val="21"/>
        </w:rPr>
      </w:pPr>
      <w:r>
        <w:rPr>
          <w:rFonts w:hint="eastAsia" w:ascii="宋体" w:hAnsi="宋体"/>
          <w:szCs w:val="21"/>
        </w:rPr>
        <w:t>甲方：乙方：</w:t>
      </w:r>
    </w:p>
    <w:p>
      <w:pPr>
        <w:snapToGrid w:val="0"/>
        <w:ind w:firstLine="200"/>
        <w:rPr>
          <w:rFonts w:ascii="宋体" w:hAnsi="宋体"/>
          <w:szCs w:val="21"/>
        </w:rPr>
      </w:pPr>
      <w:r>
        <w:rPr>
          <w:rFonts w:hint="eastAsia" w:ascii="宋体" w:hAnsi="宋体"/>
          <w:szCs w:val="21"/>
        </w:rPr>
        <w:t>地址：地址：</w:t>
      </w:r>
    </w:p>
    <w:p>
      <w:pPr>
        <w:snapToGrid w:val="0"/>
        <w:ind w:firstLine="200"/>
        <w:rPr>
          <w:rFonts w:ascii="宋体" w:hAnsi="宋体"/>
          <w:szCs w:val="21"/>
        </w:rPr>
      </w:pPr>
      <w:r>
        <w:rPr>
          <w:rFonts w:hint="eastAsia" w:ascii="宋体" w:hAnsi="宋体"/>
          <w:szCs w:val="21"/>
        </w:rPr>
        <w:t>法定代表人：法定代表人：</w:t>
      </w:r>
    </w:p>
    <w:p>
      <w:pPr>
        <w:snapToGrid w:val="0"/>
        <w:ind w:firstLine="200"/>
        <w:rPr>
          <w:rFonts w:ascii="宋体" w:hAnsi="宋体"/>
          <w:szCs w:val="21"/>
        </w:rPr>
      </w:pPr>
      <w:r>
        <w:rPr>
          <w:rFonts w:hint="eastAsia" w:ascii="宋体" w:hAnsi="宋体"/>
          <w:szCs w:val="21"/>
        </w:rPr>
        <w:t>委托代理人：委托代理人：</w:t>
      </w:r>
    </w:p>
    <w:p>
      <w:pPr>
        <w:snapToGrid w:val="0"/>
        <w:ind w:firstLine="200"/>
        <w:rPr>
          <w:rFonts w:ascii="宋体" w:hAnsi="宋体"/>
          <w:szCs w:val="21"/>
        </w:rPr>
      </w:pPr>
      <w:r>
        <w:rPr>
          <w:rFonts w:hint="eastAsia" w:ascii="宋体" w:hAnsi="宋体"/>
          <w:szCs w:val="21"/>
        </w:rPr>
        <w:t>电话：电话：</w:t>
      </w:r>
    </w:p>
    <w:p>
      <w:pPr>
        <w:snapToGrid w:val="0"/>
        <w:ind w:firstLine="200"/>
        <w:rPr>
          <w:rFonts w:ascii="宋体" w:hAnsi="宋体"/>
          <w:szCs w:val="21"/>
        </w:rPr>
      </w:pPr>
      <w:r>
        <w:rPr>
          <w:rFonts w:hint="eastAsia" w:ascii="宋体" w:hAnsi="宋体"/>
          <w:szCs w:val="21"/>
        </w:rPr>
        <w:t>开户银行：开户银行：</w:t>
      </w:r>
    </w:p>
    <w:p>
      <w:pPr>
        <w:snapToGrid w:val="0"/>
        <w:ind w:firstLine="200"/>
        <w:rPr>
          <w:rFonts w:ascii="宋体" w:hAnsi="宋体"/>
          <w:szCs w:val="21"/>
        </w:rPr>
      </w:pPr>
      <w:r>
        <w:rPr>
          <w:rFonts w:hint="eastAsia" w:ascii="宋体" w:hAnsi="宋体"/>
          <w:szCs w:val="21"/>
        </w:rPr>
        <w:t>帐号：帐号：</w:t>
      </w:r>
    </w:p>
    <w:p>
      <w:pPr>
        <w:spacing w:line="360" w:lineRule="auto"/>
        <w:ind w:firstLine="630" w:firstLineChars="300"/>
        <w:rPr>
          <w:rFonts w:ascii="宋体" w:hAnsi="宋体"/>
          <w:szCs w:val="21"/>
        </w:rPr>
      </w:pPr>
    </w:p>
    <w:p>
      <w:pPr>
        <w:spacing w:line="360" w:lineRule="auto"/>
        <w:ind w:firstLine="630" w:firstLineChars="300"/>
        <w:rPr>
          <w:rFonts w:asciiTheme="minorEastAsia" w:hAnsiTheme="minorEastAsia" w:eastAsiaTheme="minorEastAsia"/>
          <w:szCs w:val="21"/>
        </w:rPr>
      </w:pPr>
      <w:r>
        <w:rPr>
          <w:rFonts w:hint="eastAsia" w:ascii="宋体" w:hAnsi="宋体"/>
          <w:szCs w:val="21"/>
        </w:rPr>
        <w:t>签约地址：签约时间：年月日</w:t>
      </w:r>
    </w:p>
    <w:p>
      <w:pPr>
        <w:spacing w:line="360" w:lineRule="auto"/>
        <w:ind w:left="359" w:leftChars="171" w:firstLine="420" w:firstLineChars="200"/>
        <w:rPr>
          <w:rFonts w:asciiTheme="minorEastAsia" w:hAnsiTheme="minorEastAsia" w:eastAsiaTheme="minorEastAsia"/>
          <w:szCs w:val="21"/>
        </w:rPr>
      </w:pPr>
    </w:p>
    <w:p>
      <w:pPr>
        <w:spacing w:line="360" w:lineRule="auto"/>
        <w:ind w:firstLine="420" w:firstLineChars="200"/>
        <w:jc w:val="left"/>
        <w:rPr>
          <w:rFonts w:ascii="宋体" w:hAnsi="宋体"/>
          <w:szCs w:val="21"/>
        </w:rPr>
      </w:pPr>
      <w:r>
        <w:rPr>
          <w:rFonts w:hint="eastAsia" w:asciiTheme="minorEastAsia" w:hAnsiTheme="minorEastAsia" w:eastAsiaTheme="minorEastAsia"/>
          <w:szCs w:val="21"/>
        </w:rPr>
        <w:t>注：本合同样本仅供参考，具体条款内容由采购单位和中标单位协商确定。</w:t>
      </w:r>
    </w:p>
    <w:p>
      <w:r>
        <w:rPr>
          <w:rFonts w:hint="eastAsia"/>
        </w:rPr>
        <w:br w:type="page"/>
      </w:r>
    </w:p>
    <w:p>
      <w:pPr>
        <w:pStyle w:val="5"/>
        <w:jc w:val="center"/>
      </w:pPr>
      <w:bookmarkStart w:id="264" w:name="_Toc15387"/>
      <w:r>
        <w:rPr>
          <w:rFonts w:hint="eastAsia"/>
        </w:rPr>
        <w:t>第五章投标文件的格式、附件</w:t>
      </w:r>
      <w:bookmarkEnd w:id="264"/>
    </w:p>
    <w:p>
      <w:pPr>
        <w:spacing w:line="360" w:lineRule="auto"/>
        <w:ind w:firstLine="480" w:firstLineChars="200"/>
        <w:rPr>
          <w:rFonts w:ascii="宋体" w:hAnsi="宋体" w:cs="Arial"/>
          <w:bCs/>
          <w:sz w:val="24"/>
        </w:rPr>
      </w:pPr>
      <w:r>
        <w:rPr>
          <w:rFonts w:hint="eastAsia" w:ascii="宋体" w:hAnsi="宋体" w:cs="Arial"/>
          <w:bCs/>
          <w:sz w:val="24"/>
        </w:rPr>
        <w:t>特别提醒：投标人在编辑投标文件时，在投标文件目录中属于本节点内容的必须在本节点中填写，填写到其他节点或附件的将可能导致废标，一切后果由供应商自行承担。</w:t>
      </w:r>
    </w:p>
    <w:p>
      <w:pPr>
        <w:jc w:val="center"/>
        <w:rPr>
          <w:b/>
          <w:sz w:val="32"/>
          <w:szCs w:val="32"/>
        </w:rPr>
      </w:pPr>
      <w:r>
        <w:rPr>
          <w:rFonts w:ascii="宋体" w:hAnsi="宋体" w:cs="Arial"/>
          <w:sz w:val="24"/>
        </w:rPr>
        <w:br w:type="page"/>
      </w:r>
      <w:r>
        <w:rPr>
          <w:rFonts w:hint="eastAsia"/>
          <w:b/>
          <w:sz w:val="32"/>
          <w:szCs w:val="32"/>
        </w:rPr>
        <w:t>密封袋封条格式</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left"/>
        <w:rPr>
          <w:rFonts w:ascii="宋体" w:hAnsi="宋体" w:cs="Arial"/>
          <w:b/>
          <w:bCs/>
          <w:sz w:val="28"/>
          <w:szCs w:val="28"/>
        </w:rPr>
      </w:pPr>
      <w:r>
        <w:rPr>
          <w:rFonts w:hint="eastAsia" w:ascii="宋体" w:hAnsi="宋体" w:cs="Arial"/>
          <w:b/>
          <w:bCs/>
          <w:sz w:val="28"/>
          <w:szCs w:val="28"/>
        </w:rPr>
        <w:t>项目名称：</w:t>
      </w:r>
    </w:p>
    <w:p>
      <w:pPr>
        <w:spacing w:line="360" w:lineRule="auto"/>
        <w:jc w:val="left"/>
        <w:rPr>
          <w:rFonts w:ascii="宋体" w:hAnsi="宋体" w:cs="Arial"/>
          <w:b/>
          <w:bCs/>
          <w:sz w:val="28"/>
          <w:szCs w:val="28"/>
        </w:rPr>
      </w:pPr>
      <w:r>
        <w:rPr>
          <w:rFonts w:hint="eastAsia" w:ascii="宋体" w:hAnsi="宋体" w:cs="Arial"/>
          <w:b/>
          <w:bCs/>
          <w:sz w:val="28"/>
          <w:szCs w:val="28"/>
        </w:rPr>
        <w:t>项目编号：</w:t>
      </w:r>
    </w:p>
    <w:p>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（加盖公章）</w:t>
      </w:r>
    </w:p>
    <w:p>
      <w:pPr>
        <w:spacing w:line="360" w:lineRule="auto"/>
        <w:jc w:val="left"/>
        <w:rPr>
          <w:rFonts w:ascii="宋体" w:hAnsi="宋体" w:cs="Arial"/>
          <w:b/>
          <w:bCs/>
          <w:sz w:val="28"/>
          <w:szCs w:val="28"/>
        </w:rPr>
      </w:pPr>
      <w:r>
        <w:rPr>
          <w:rFonts w:hint="eastAsia" w:ascii="宋体" w:hAnsi="宋体" w:cs="Arial"/>
          <w:b/>
          <w:bCs/>
          <w:sz w:val="28"/>
          <w:szCs w:val="28"/>
        </w:rPr>
        <w:t>单位地址：</w:t>
      </w:r>
    </w:p>
    <w:p>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p>
    <w:p>
      <w:pPr>
        <w:spacing w:line="360" w:lineRule="auto"/>
        <w:jc w:val="left"/>
        <w:rPr>
          <w:rFonts w:ascii="宋体" w:hAnsi="宋体" w:cs="Arial"/>
          <w:b/>
          <w:bCs/>
          <w:sz w:val="28"/>
          <w:szCs w:val="28"/>
        </w:rPr>
      </w:pPr>
      <w:r>
        <w:rPr>
          <w:rFonts w:hint="eastAsia" w:ascii="宋体" w:hAnsi="宋体" w:cs="Arial"/>
          <w:b/>
          <w:bCs/>
          <w:sz w:val="28"/>
          <w:szCs w:val="28"/>
        </w:rPr>
        <w:t>联系电话：</w:t>
      </w:r>
    </w:p>
    <w:p>
      <w:pPr>
        <w:spacing w:line="360" w:lineRule="auto"/>
        <w:jc w:val="center"/>
        <w:rPr>
          <w:rFonts w:ascii="宋体" w:hAnsi="宋体" w:cs="Arial"/>
          <w:b/>
          <w:bCs/>
          <w:sz w:val="28"/>
          <w:szCs w:val="28"/>
        </w:rPr>
      </w:pPr>
      <w:r>
        <w:rPr>
          <w:rFonts w:hint="eastAsia" w:ascii="宋体" w:hAnsi="宋体" w:cs="Arial"/>
          <w:b/>
          <w:bCs/>
          <w:sz w:val="28"/>
          <w:szCs w:val="28"/>
        </w:rPr>
        <w:t>【年月日时分之前不得启封。】</w:t>
      </w:r>
    </w:p>
    <w:p>
      <w:pPr>
        <w:spacing w:line="360" w:lineRule="auto"/>
        <w:rPr>
          <w:rFonts w:ascii="宋体" w:hAnsi="宋体" w:cs="Arial"/>
          <w:bCs/>
          <w:sz w:val="28"/>
          <w:szCs w:val="28"/>
        </w:rPr>
      </w:pPr>
    </w:p>
    <w:p>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pPr>
        <w:spacing w:line="360" w:lineRule="auto"/>
        <w:rPr>
          <w:rFonts w:ascii="宋体" w:hAnsi="宋体" w:cs="Arial"/>
          <w:bCs/>
          <w:sz w:val="24"/>
        </w:rPr>
      </w:pPr>
    </w:p>
    <w:p>
      <w:pPr>
        <w:jc w:val="center"/>
        <w:rPr>
          <w:b/>
          <w:sz w:val="32"/>
          <w:szCs w:val="32"/>
        </w:rPr>
      </w:pPr>
    </w:p>
    <w:p>
      <w:pPr>
        <w:pStyle w:val="6"/>
        <w:spacing w:before="120" w:after="120"/>
        <w:jc w:val="center"/>
        <w:rPr>
          <w:rFonts w:ascii="黑体"/>
          <w:sz w:val="28"/>
          <w:szCs w:val="28"/>
        </w:rPr>
      </w:pPr>
      <w:bookmarkStart w:id="265" w:name="_Toc13992"/>
      <w:r>
        <w:rPr>
          <w:rFonts w:hint="eastAsia" w:ascii="黑体"/>
          <w:sz w:val="28"/>
          <w:szCs w:val="28"/>
        </w:rPr>
        <w:t>开标一览表</w:t>
      </w:r>
      <w:bookmarkEnd w:id="265"/>
    </w:p>
    <w:p>
      <w:pPr>
        <w:jc w:val="right"/>
        <w:rPr>
          <w:rFonts w:ascii="宋体" w:hAnsi="宋体"/>
          <w:bCs/>
          <w:snapToGrid w:val="0"/>
          <w:kern w:val="0"/>
        </w:rPr>
      </w:pPr>
      <w:r>
        <w:rPr>
          <w:rFonts w:hint="eastAsia" w:ascii="宋体" w:hAnsi="宋体"/>
          <w:bCs/>
          <w:snapToGrid w:val="0"/>
          <w:kern w:val="0"/>
        </w:rPr>
        <w:t>单位：人民币元</w:t>
      </w:r>
    </w:p>
    <w:tbl>
      <w:tblPr>
        <w:tblStyle w:val="43"/>
        <w:tblW w:w="851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2522"/>
        <w:gridCol w:w="3007"/>
        <w:gridCol w:w="133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1222" w:hRule="atLeast"/>
        </w:trPr>
        <w:tc>
          <w:tcPr>
            <w:tcW w:w="1654"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项目编号</w:t>
            </w:r>
          </w:p>
        </w:tc>
        <w:tc>
          <w:tcPr>
            <w:tcW w:w="2522"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项目名称</w:t>
            </w:r>
          </w:p>
        </w:tc>
        <w:tc>
          <w:tcPr>
            <w:tcW w:w="3007"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投标总价</w:t>
            </w:r>
          </w:p>
        </w:tc>
        <w:tc>
          <w:tcPr>
            <w:tcW w:w="1336"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1654" w:type="dxa"/>
            <w:tcBorders>
              <w:top w:val="single" w:color="auto" w:sz="4" w:space="0"/>
            </w:tcBorders>
            <w:vAlign w:val="center"/>
          </w:tcPr>
          <w:p>
            <w:pPr>
              <w:jc w:val="center"/>
              <w:rPr>
                <w:rFonts w:ascii="宋体" w:hAnsi="宋体"/>
                <w:snapToGrid w:val="0"/>
                <w:kern w:val="0"/>
                <w:u w:val="single"/>
              </w:rPr>
            </w:pPr>
          </w:p>
        </w:tc>
        <w:tc>
          <w:tcPr>
            <w:tcW w:w="2522" w:type="dxa"/>
            <w:tcBorders>
              <w:top w:val="single" w:color="auto" w:sz="4" w:space="0"/>
            </w:tcBorders>
            <w:vAlign w:val="center"/>
          </w:tcPr>
          <w:p>
            <w:pPr>
              <w:rPr>
                <w:rFonts w:ascii="宋体" w:hAnsi="宋体"/>
                <w:snapToGrid w:val="0"/>
                <w:kern w:val="0"/>
                <w:u w:val="single"/>
              </w:rPr>
            </w:pPr>
          </w:p>
        </w:tc>
        <w:tc>
          <w:tcPr>
            <w:tcW w:w="3007" w:type="dxa"/>
            <w:tcBorders>
              <w:top w:val="single" w:color="auto" w:sz="4" w:space="0"/>
            </w:tcBorders>
            <w:vAlign w:val="center"/>
          </w:tcPr>
          <w:p>
            <w:pPr>
              <w:rPr>
                <w:rFonts w:ascii="宋体" w:hAnsi="宋体"/>
                <w:snapToGrid w:val="0"/>
                <w:kern w:val="0"/>
              </w:rPr>
            </w:pPr>
            <w:r>
              <w:rPr>
                <w:rFonts w:hint="eastAsia" w:ascii="宋体" w:hAnsi="宋体"/>
                <w:snapToGrid w:val="0"/>
                <w:kern w:val="0"/>
              </w:rPr>
              <w:t>大写：</w:t>
            </w:r>
          </w:p>
          <w:p>
            <w:pPr>
              <w:rPr>
                <w:rFonts w:ascii="宋体" w:hAnsi="宋体"/>
                <w:snapToGrid w:val="0"/>
                <w:kern w:val="0"/>
              </w:rPr>
            </w:pPr>
            <w:r>
              <w:rPr>
                <w:rFonts w:hint="eastAsia" w:ascii="宋体" w:hAnsi="宋体"/>
                <w:snapToGrid w:val="0"/>
                <w:kern w:val="0"/>
              </w:rPr>
              <w:t>小写：</w:t>
            </w:r>
          </w:p>
        </w:tc>
        <w:tc>
          <w:tcPr>
            <w:tcW w:w="1336" w:type="dxa"/>
            <w:tcBorders>
              <w:top w:val="single" w:color="auto" w:sz="4" w:space="0"/>
            </w:tcBorders>
            <w:vAlign w:val="center"/>
          </w:tcPr>
          <w:p>
            <w:pPr>
              <w:jc w:val="center"/>
              <w:rPr>
                <w:rFonts w:ascii="宋体" w:hAnsi="宋体"/>
                <w:snapToGrid w:val="0"/>
                <w:kern w:val="0"/>
              </w:rPr>
            </w:pPr>
          </w:p>
        </w:tc>
      </w:tr>
    </w:tbl>
    <w:p>
      <w:pPr>
        <w:rPr>
          <w:rFonts w:ascii="宋体" w:hAnsi="宋体"/>
          <w:snapToGrid w:val="0"/>
          <w:kern w:val="0"/>
        </w:rPr>
      </w:pPr>
      <w:r>
        <w:rPr>
          <w:rFonts w:hint="eastAsia" w:ascii="宋体" w:hAnsi="宋体"/>
          <w:snapToGrid w:val="0"/>
          <w:kern w:val="0"/>
        </w:rPr>
        <w:t>注：1、价格应按“招标文件”中规定的货币单位填写。</w:t>
      </w:r>
    </w:p>
    <w:p>
      <w:pPr>
        <w:rPr>
          <w:rFonts w:ascii="宋体" w:hAnsi="宋体"/>
        </w:rPr>
      </w:pPr>
      <w:r>
        <w:rPr>
          <w:rFonts w:hint="eastAsia" w:ascii="宋体" w:hAnsi="宋体"/>
          <w:snapToGrid w:val="0"/>
          <w:kern w:val="0"/>
        </w:rPr>
        <w:t xml:space="preserve">    2、投标人如果需要对报价或其它内容加以说明，可在备注栏填写。</w:t>
      </w:r>
    </w:p>
    <w:p>
      <w:pPr>
        <w:ind w:firstLine="420"/>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开标一览表》作为开标时唱标的依据，除按格式要求放入投标文件中外，还应另行单独密封提交一份，在封口密封处加盖公章（或密封封口处粘贴封条并加盖投标单位公章），并在信封上标明“开标一览表”字样。</w:t>
      </w:r>
    </w:p>
    <w:p>
      <w:pPr>
        <w:ind w:firstLine="420"/>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4、《开标一览表》未按招标文件规定签字、盖章、密封的，将导致废标。</w:t>
      </w:r>
    </w:p>
    <w:p>
      <w:pPr>
        <w:snapToGrid w:val="0"/>
        <w:ind w:firstLine="411" w:firstLineChars="196"/>
        <w:rPr>
          <w:rFonts w:ascii="宋体" w:hAnsi="宋体"/>
          <w:szCs w:val="21"/>
        </w:rPr>
      </w:pPr>
      <w:r>
        <w:rPr>
          <w:rFonts w:hint="eastAsia" w:ascii="宋体" w:hAnsi="宋体"/>
        </w:rPr>
        <w:t>5、</w:t>
      </w:r>
      <w:r>
        <w:rPr>
          <w:rFonts w:hint="eastAsia" w:ascii="宋体" w:hAnsi="宋体"/>
          <w:szCs w:val="21"/>
        </w:rPr>
        <w:t>若开标一览表中大写金额和小写金额不一致的，以大写金额为准。</w:t>
      </w:r>
    </w:p>
    <w:p>
      <w:pPr>
        <w:ind w:firstLine="420"/>
        <w:rPr>
          <w:rFonts w:ascii="宋体" w:hAnsi="宋体"/>
        </w:rPr>
      </w:pPr>
    </w:p>
    <w:p>
      <w:pPr>
        <w:ind w:firstLine="420"/>
        <w:jc w:val="left"/>
        <w:rPr>
          <w:rFonts w:ascii="宋体" w:hAnsi="宋体"/>
        </w:rPr>
      </w:pPr>
    </w:p>
    <w:p>
      <w:pPr>
        <w:ind w:firstLine="420"/>
        <w:jc w:val="left"/>
        <w:rPr>
          <w:rFonts w:ascii="宋体" w:hAnsi="宋体"/>
        </w:rPr>
      </w:pPr>
    </w:p>
    <w:p>
      <w:pPr>
        <w:ind w:firstLine="3150" w:firstLineChars="1500"/>
        <w:jc w:val="left"/>
        <w:rPr>
          <w:rFonts w:ascii="宋体" w:hAnsi="宋体"/>
        </w:rPr>
      </w:pPr>
      <w:r>
        <w:rPr>
          <w:rFonts w:hint="eastAsia" w:ascii="宋体" w:hAnsi="宋体"/>
        </w:rPr>
        <w:t>法定代表人或其授权委托人（</w:t>
      </w:r>
      <w:r>
        <w:rPr>
          <w:rFonts w:hint="eastAsia" w:ascii="宋体" w:hAnsi="宋体"/>
          <w:b/>
        </w:rPr>
        <w:t>签名</w:t>
      </w:r>
      <w:r>
        <w:rPr>
          <w:rFonts w:hint="eastAsia" w:ascii="宋体" w:hAnsi="宋体"/>
        </w:rPr>
        <w:t>）：</w:t>
      </w:r>
    </w:p>
    <w:p>
      <w:pPr>
        <w:jc w:val="left"/>
        <w:rPr>
          <w:rFonts w:ascii="宋体" w:hAnsi="宋体"/>
        </w:rPr>
      </w:pPr>
    </w:p>
    <w:p>
      <w:pPr>
        <w:ind w:firstLine="3150" w:firstLineChars="1500"/>
        <w:jc w:val="left"/>
        <w:rPr>
          <w:rFonts w:ascii="宋体" w:hAnsi="宋体"/>
        </w:rPr>
      </w:pPr>
      <w:r>
        <w:rPr>
          <w:rFonts w:hint="eastAsia" w:ascii="宋体" w:hAnsi="宋体"/>
        </w:rPr>
        <w:t>投标单位（</w:t>
      </w:r>
      <w:r>
        <w:rPr>
          <w:rFonts w:hint="eastAsia" w:ascii="宋体" w:hAnsi="宋体"/>
          <w:b/>
        </w:rPr>
        <w:t>盖公章</w:t>
      </w:r>
      <w:r>
        <w:rPr>
          <w:rFonts w:hint="eastAsia" w:ascii="宋体" w:hAnsi="宋体"/>
        </w:rPr>
        <w:t>）：</w:t>
      </w:r>
    </w:p>
    <w:p>
      <w:pPr>
        <w:jc w:val="left"/>
        <w:rPr>
          <w:rFonts w:ascii="宋体" w:hAnsi="宋体"/>
        </w:rPr>
      </w:pPr>
    </w:p>
    <w:p>
      <w:pPr>
        <w:jc w:val="right"/>
        <w:rPr>
          <w:rFonts w:ascii="宋体" w:hAnsi="宋体"/>
        </w:rPr>
      </w:pPr>
      <w:r>
        <w:rPr>
          <w:rFonts w:hint="eastAsia" w:ascii="宋体" w:hAnsi="宋体"/>
        </w:rPr>
        <w:t>日期：    年  月  日</w:t>
      </w:r>
    </w:p>
    <w:p>
      <w:pPr>
        <w:jc w:val="center"/>
        <w:rPr>
          <w:rFonts w:ascii="黑体" w:hAnsi="宋体" w:eastAsia="黑体"/>
          <w:bCs/>
          <w:sz w:val="36"/>
          <w:szCs w:val="36"/>
        </w:rPr>
      </w:pPr>
      <w:r>
        <w:rPr>
          <w:rFonts w:ascii="宋体" w:hAnsi="宋体"/>
          <w:bCs/>
          <w:sz w:val="24"/>
        </w:rPr>
        <w:br w:type="page"/>
      </w:r>
      <w:r>
        <w:rPr>
          <w:rFonts w:hint="eastAsia" w:ascii="黑体" w:eastAsia="黑体"/>
          <w:sz w:val="36"/>
          <w:szCs w:val="36"/>
        </w:rPr>
        <w:t>目录</w:t>
      </w:r>
    </w:p>
    <w:p>
      <w:pPr>
        <w:spacing w:line="360" w:lineRule="auto"/>
        <w:rPr>
          <w:bCs/>
          <w:snapToGrid w:val="0"/>
          <w:kern w:val="0"/>
          <w:sz w:val="28"/>
        </w:rPr>
      </w:pPr>
    </w:p>
    <w:p>
      <w:pPr>
        <w:spacing w:line="360" w:lineRule="auto"/>
        <w:rPr>
          <w:bCs/>
          <w:snapToGrid w:val="0"/>
          <w:kern w:val="0"/>
          <w:sz w:val="28"/>
        </w:rPr>
      </w:pPr>
      <w:r>
        <w:rPr>
          <w:rFonts w:hint="eastAsia"/>
          <w:bCs/>
          <w:snapToGrid w:val="0"/>
          <w:kern w:val="0"/>
          <w:sz w:val="28"/>
        </w:rPr>
        <w:t>一、评标指引表</w:t>
      </w:r>
    </w:p>
    <w:p>
      <w:pPr>
        <w:spacing w:line="360" w:lineRule="auto"/>
        <w:rPr>
          <w:bCs/>
          <w:snapToGrid w:val="0"/>
          <w:kern w:val="0"/>
          <w:sz w:val="28"/>
        </w:rPr>
      </w:pPr>
      <w:r>
        <w:rPr>
          <w:rFonts w:hint="eastAsia"/>
          <w:bCs/>
          <w:snapToGrid w:val="0"/>
          <w:kern w:val="0"/>
          <w:sz w:val="28"/>
        </w:rPr>
        <w:t>二、承诺函</w:t>
      </w:r>
    </w:p>
    <w:p>
      <w:pPr>
        <w:spacing w:line="360" w:lineRule="auto"/>
        <w:rPr>
          <w:bCs/>
          <w:snapToGrid w:val="0"/>
          <w:kern w:val="0"/>
          <w:sz w:val="28"/>
        </w:rPr>
      </w:pPr>
      <w:r>
        <w:rPr>
          <w:rFonts w:hint="eastAsia"/>
          <w:bCs/>
          <w:snapToGrid w:val="0"/>
          <w:kern w:val="0"/>
          <w:sz w:val="28"/>
        </w:rPr>
        <w:t>三、法定代表人资格证明书</w:t>
      </w:r>
    </w:p>
    <w:p>
      <w:pPr>
        <w:spacing w:line="360" w:lineRule="auto"/>
        <w:rPr>
          <w:bCs/>
          <w:snapToGrid w:val="0"/>
          <w:kern w:val="0"/>
          <w:sz w:val="28"/>
        </w:rPr>
      </w:pPr>
      <w:r>
        <w:rPr>
          <w:rFonts w:hint="eastAsia"/>
          <w:bCs/>
          <w:snapToGrid w:val="0"/>
          <w:kern w:val="0"/>
          <w:sz w:val="28"/>
        </w:rPr>
        <w:t>四、法定代表人授权书</w:t>
      </w:r>
    </w:p>
    <w:p>
      <w:pPr>
        <w:spacing w:line="360" w:lineRule="auto"/>
        <w:rPr>
          <w:bCs/>
          <w:snapToGrid w:val="0"/>
          <w:kern w:val="0"/>
          <w:sz w:val="28"/>
        </w:rPr>
      </w:pPr>
      <w:r>
        <w:rPr>
          <w:rFonts w:hint="eastAsia"/>
          <w:bCs/>
          <w:snapToGrid w:val="0"/>
          <w:kern w:val="0"/>
          <w:sz w:val="28"/>
        </w:rPr>
        <w:t>五、投标函</w:t>
      </w:r>
    </w:p>
    <w:p>
      <w:pPr>
        <w:spacing w:line="360" w:lineRule="auto"/>
        <w:rPr>
          <w:bCs/>
          <w:snapToGrid w:val="0"/>
          <w:kern w:val="0"/>
          <w:sz w:val="28"/>
        </w:rPr>
      </w:pPr>
      <w:r>
        <w:rPr>
          <w:rFonts w:hint="eastAsia"/>
          <w:bCs/>
          <w:snapToGrid w:val="0"/>
          <w:kern w:val="0"/>
          <w:sz w:val="28"/>
        </w:rPr>
        <w:t>六、开标一览表</w:t>
      </w:r>
    </w:p>
    <w:p>
      <w:pPr>
        <w:spacing w:line="360" w:lineRule="auto"/>
        <w:rPr>
          <w:bCs/>
          <w:snapToGrid w:val="0"/>
          <w:kern w:val="0"/>
          <w:sz w:val="28"/>
        </w:rPr>
      </w:pPr>
      <w:r>
        <w:rPr>
          <w:rFonts w:hint="eastAsia"/>
          <w:bCs/>
          <w:snapToGrid w:val="0"/>
          <w:kern w:val="0"/>
          <w:sz w:val="28"/>
        </w:rPr>
        <w:t>七、分项报价清单表</w:t>
      </w:r>
    </w:p>
    <w:p>
      <w:pPr>
        <w:spacing w:line="360" w:lineRule="auto"/>
        <w:rPr>
          <w:bCs/>
          <w:snapToGrid w:val="0"/>
          <w:kern w:val="0"/>
          <w:sz w:val="28"/>
        </w:rPr>
      </w:pPr>
      <w:r>
        <w:rPr>
          <w:rFonts w:hint="eastAsia"/>
          <w:bCs/>
          <w:snapToGrid w:val="0"/>
          <w:kern w:val="0"/>
          <w:sz w:val="28"/>
        </w:rPr>
        <w:t>八、供应商情况介绍</w:t>
      </w:r>
    </w:p>
    <w:p>
      <w:pPr>
        <w:spacing w:line="360" w:lineRule="auto"/>
        <w:rPr>
          <w:bCs/>
          <w:snapToGrid w:val="0"/>
          <w:kern w:val="0"/>
          <w:sz w:val="28"/>
        </w:rPr>
      </w:pPr>
      <w:r>
        <w:rPr>
          <w:rFonts w:hint="eastAsia"/>
          <w:bCs/>
          <w:snapToGrid w:val="0"/>
          <w:kern w:val="0"/>
          <w:sz w:val="28"/>
        </w:rPr>
        <w:t>九、项目实施方案</w:t>
      </w:r>
    </w:p>
    <w:p>
      <w:pPr>
        <w:spacing w:line="360" w:lineRule="auto"/>
        <w:rPr>
          <w:bCs/>
          <w:snapToGrid w:val="0"/>
          <w:kern w:val="0"/>
          <w:sz w:val="28"/>
        </w:rPr>
      </w:pPr>
      <w:r>
        <w:rPr>
          <w:rFonts w:hint="eastAsia"/>
          <w:bCs/>
          <w:snapToGrid w:val="0"/>
          <w:kern w:val="0"/>
          <w:sz w:val="28"/>
        </w:rPr>
        <w:t>十、服务条款偏离表</w:t>
      </w:r>
    </w:p>
    <w:p>
      <w:pPr>
        <w:spacing w:line="360" w:lineRule="auto"/>
        <w:rPr>
          <w:bCs/>
          <w:snapToGrid w:val="0"/>
          <w:kern w:val="0"/>
          <w:sz w:val="28"/>
        </w:rPr>
      </w:pPr>
      <w:r>
        <w:rPr>
          <w:rFonts w:hint="eastAsia"/>
          <w:bCs/>
          <w:snapToGrid w:val="0"/>
          <w:kern w:val="0"/>
          <w:sz w:val="28"/>
        </w:rPr>
        <w:t>十一、商务条款偏离表</w:t>
      </w:r>
    </w:p>
    <w:p>
      <w:pPr>
        <w:spacing w:line="360" w:lineRule="auto"/>
        <w:rPr>
          <w:bCs/>
          <w:snapToGrid w:val="0"/>
          <w:kern w:val="0"/>
          <w:sz w:val="28"/>
        </w:rPr>
      </w:pPr>
      <w:r>
        <w:rPr>
          <w:rFonts w:hint="eastAsia"/>
          <w:bCs/>
          <w:snapToGrid w:val="0"/>
          <w:kern w:val="0"/>
          <w:sz w:val="28"/>
        </w:rPr>
        <w:t>十二、招标文件要求的其他内容及投标人认为需要加以说明其他内容</w:t>
      </w:r>
    </w:p>
    <w:p>
      <w:pPr>
        <w:pStyle w:val="6"/>
        <w:spacing w:before="120" w:after="120"/>
        <w:jc w:val="center"/>
        <w:rPr>
          <w:rFonts w:ascii="黑体"/>
          <w:sz w:val="28"/>
          <w:szCs w:val="28"/>
        </w:rPr>
      </w:pPr>
      <w:r>
        <w:rPr>
          <w:rFonts w:ascii="宋体" w:hAnsi="宋体"/>
          <w:bCs w:val="0"/>
          <w:sz w:val="24"/>
        </w:rPr>
        <w:br w:type="page"/>
      </w:r>
      <w:bookmarkStart w:id="266" w:name="_Toc11986"/>
      <w:r>
        <w:rPr>
          <w:rFonts w:hint="eastAsia" w:ascii="黑体"/>
          <w:sz w:val="28"/>
          <w:szCs w:val="28"/>
        </w:rPr>
        <w:t>一、评标指引表</w:t>
      </w:r>
      <w:bookmarkEnd w:id="266"/>
    </w:p>
    <w:p>
      <w:pPr>
        <w:jc w:val="center"/>
        <w:rPr>
          <w:rFonts w:ascii="宋体" w:hAnsi="宋体"/>
          <w:b/>
          <w:szCs w:val="21"/>
        </w:rPr>
      </w:pPr>
      <w:r>
        <w:rPr>
          <w:rFonts w:hint="eastAsia" w:ascii="宋体" w:hAnsi="宋体"/>
          <w:b/>
          <w:szCs w:val="21"/>
        </w:rPr>
        <w:t>（置于投标文件的首页）</w:t>
      </w:r>
    </w:p>
    <w:p>
      <w:pPr>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ind w:firstLine="420" w:firstLineChars="200"/>
        <w:rPr>
          <w:rFonts w:ascii="宋体" w:hAnsi="宋体"/>
          <w:szCs w:val="21"/>
        </w:rPr>
      </w:pPr>
    </w:p>
    <w:p>
      <w:pPr>
        <w:jc w:val="center"/>
        <w:rPr>
          <w:rFonts w:ascii="宋体" w:hAnsi="宋体"/>
          <w:b/>
          <w:szCs w:val="21"/>
        </w:rPr>
      </w:pPr>
      <w:r>
        <w:rPr>
          <w:rFonts w:hint="eastAsia" w:ascii="宋体" w:hAnsi="宋体"/>
          <w:b/>
          <w:szCs w:val="21"/>
        </w:rPr>
        <w:t>项目评标指引表</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313"/>
        <w:gridCol w:w="3440"/>
        <w:gridCol w:w="1451"/>
        <w:gridCol w:w="807"/>
        <w:gridCol w:w="500"/>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522" w:type="dxa"/>
            <w:gridSpan w:val="7"/>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一、资格性检查指引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序号</w:t>
            </w:r>
          </w:p>
        </w:tc>
        <w:tc>
          <w:tcPr>
            <w:tcW w:w="3753"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资格性检查项目</w:t>
            </w:r>
          </w:p>
        </w:tc>
        <w:tc>
          <w:tcPr>
            <w:tcW w:w="2758" w:type="dxa"/>
            <w:gridSpan w:val="3"/>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证明文件</w:t>
            </w:r>
          </w:p>
        </w:tc>
        <w:tc>
          <w:tcPr>
            <w:tcW w:w="1251"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60" w:type="dxa"/>
            <w:vMerge w:val="restart"/>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3753" w:type="dxa"/>
            <w:gridSpan w:val="2"/>
            <w:vMerge w:val="restart"/>
            <w:vAlign w:val="center"/>
          </w:tcPr>
          <w:p>
            <w:pPr>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投标人不具备招标资质要求，或未提交相应资格证明材料的。</w:t>
            </w:r>
          </w:p>
        </w:tc>
        <w:tc>
          <w:tcPr>
            <w:tcW w:w="2758" w:type="dxa"/>
            <w:gridSpan w:val="3"/>
            <w:vAlign w:val="center"/>
          </w:tcPr>
          <w:p>
            <w:p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营业执照</w:t>
            </w:r>
          </w:p>
        </w:tc>
        <w:tc>
          <w:tcPr>
            <w:tcW w:w="1251" w:type="dxa"/>
            <w:shd w:val="clear" w:color="auto" w:fill="auto"/>
            <w:vAlign w:val="center"/>
          </w:tcPr>
          <w:p>
            <w:pPr>
              <w:jc w:val="center"/>
              <w:rPr>
                <w:rFonts w:asciiTheme="minorEastAsia" w:hAnsiTheme="minorEastAsia" w:eastAsiaTheme="minorEastAsia"/>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60" w:type="dxa"/>
            <w:vMerge w:val="continue"/>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3753" w:type="dxa"/>
            <w:gridSpan w:val="2"/>
            <w:vMerge w:val="continue"/>
            <w:vAlign w:val="center"/>
          </w:tcPr>
          <w:p>
            <w:pPr>
              <w:jc w:val="left"/>
              <w:rPr>
                <w:rFonts w:asciiTheme="minorEastAsia" w:hAnsiTheme="minorEastAsia" w:eastAsiaTheme="minorEastAsia"/>
                <w:color w:val="000000" w:themeColor="text1"/>
                <w:szCs w:val="21"/>
                <w14:textFill>
                  <w14:solidFill>
                    <w14:schemeClr w14:val="tx1"/>
                  </w14:solidFill>
                </w14:textFill>
              </w:rPr>
            </w:pPr>
          </w:p>
        </w:tc>
        <w:tc>
          <w:tcPr>
            <w:tcW w:w="2758" w:type="dxa"/>
            <w:gridSpan w:val="3"/>
            <w:vAlign w:val="center"/>
          </w:tcPr>
          <w:p>
            <w:pPr>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w:t>
            </w:r>
          </w:p>
        </w:tc>
        <w:tc>
          <w:tcPr>
            <w:tcW w:w="1251" w:type="dxa"/>
            <w:shd w:val="clear" w:color="auto" w:fill="auto"/>
            <w:vAlign w:val="center"/>
          </w:tcPr>
          <w:p>
            <w:pPr>
              <w:jc w:val="center"/>
              <w:rPr>
                <w:rFonts w:asciiTheme="minorEastAsia" w:hAnsiTheme="minorEastAsia" w:eastAsiaTheme="minorEastAsia"/>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60" w:type="dxa"/>
            <w:vMerge w:val="continue"/>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3753" w:type="dxa"/>
            <w:gridSpan w:val="2"/>
            <w:vMerge w:val="continue"/>
            <w:vAlign w:val="center"/>
          </w:tcPr>
          <w:p>
            <w:pPr>
              <w:jc w:val="left"/>
              <w:rPr>
                <w:rFonts w:asciiTheme="minorEastAsia" w:hAnsiTheme="minorEastAsia" w:eastAsiaTheme="minorEastAsia"/>
                <w:color w:val="000000" w:themeColor="text1"/>
                <w:szCs w:val="21"/>
                <w14:textFill>
                  <w14:solidFill>
                    <w14:schemeClr w14:val="tx1"/>
                  </w14:solidFill>
                </w14:textFill>
              </w:rPr>
            </w:pPr>
          </w:p>
        </w:tc>
        <w:tc>
          <w:tcPr>
            <w:tcW w:w="2758" w:type="dxa"/>
            <w:gridSpan w:val="3"/>
            <w:vAlign w:val="center"/>
          </w:tcPr>
          <w:p>
            <w:pPr>
              <w:jc w:val="left"/>
              <w:rPr>
                <w:rFonts w:asciiTheme="minorEastAsia" w:hAnsiTheme="minorEastAsia" w:eastAsiaTheme="minorEastAsia"/>
                <w:color w:val="000000" w:themeColor="text1"/>
                <w:szCs w:val="21"/>
                <w14:textFill>
                  <w14:solidFill>
                    <w14:schemeClr w14:val="tx1"/>
                  </w14:solidFill>
                </w14:textFill>
              </w:rPr>
            </w:pPr>
          </w:p>
        </w:tc>
        <w:tc>
          <w:tcPr>
            <w:tcW w:w="1251" w:type="dxa"/>
            <w:shd w:val="clear" w:color="auto" w:fill="auto"/>
            <w:vAlign w:val="center"/>
          </w:tcPr>
          <w:p>
            <w:pPr>
              <w:jc w:val="center"/>
              <w:rPr>
                <w:rFonts w:asciiTheme="minorEastAsia" w:hAnsiTheme="minorEastAsia" w:eastAsiaTheme="minorEastAsia"/>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3753" w:type="dxa"/>
            <w:gridSpan w:val="2"/>
            <w:vAlign w:val="center"/>
          </w:tcPr>
          <w:p>
            <w:p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投标人</w:t>
            </w:r>
            <w:r>
              <w:rPr>
                <w:rFonts w:hint="eastAsia"/>
              </w:rPr>
              <w:t>未按招标公告要求</w:t>
            </w:r>
            <w:r>
              <w:rPr>
                <w:rFonts w:hint="eastAsia" w:ascii="Courier New" w:hAnsi="Courier New" w:cs="Courier New"/>
                <w:kern w:val="0"/>
                <w:szCs w:val="21"/>
              </w:rPr>
              <w:t>完成投标报名的</w:t>
            </w:r>
          </w:p>
        </w:tc>
        <w:tc>
          <w:tcPr>
            <w:tcW w:w="2758" w:type="dxa"/>
            <w:gridSpan w:val="3"/>
            <w:vAlign w:val="center"/>
          </w:tcPr>
          <w:p>
            <w:p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无需提供证明材料，由政府采购代理机构核查</w:t>
            </w:r>
          </w:p>
        </w:tc>
        <w:tc>
          <w:tcPr>
            <w:tcW w:w="1251" w:type="dxa"/>
            <w:shd w:val="clear" w:color="auto" w:fill="auto"/>
            <w:vAlign w:val="center"/>
          </w:tcPr>
          <w:p>
            <w:pPr>
              <w:jc w:val="center"/>
              <w:rPr>
                <w:rFonts w:asciiTheme="minorEastAsia" w:hAnsiTheme="minorEastAsia" w:eastAsiaTheme="minorEastAsia"/>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522" w:type="dxa"/>
            <w:gridSpan w:val="7"/>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二、符合性检查指引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序号</w:t>
            </w:r>
          </w:p>
        </w:tc>
        <w:tc>
          <w:tcPr>
            <w:tcW w:w="5204" w:type="dxa"/>
            <w:gridSpan w:val="3"/>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符合性检查项目</w:t>
            </w:r>
          </w:p>
        </w:tc>
        <w:tc>
          <w:tcPr>
            <w:tcW w:w="2558" w:type="dxa"/>
            <w:gridSpan w:val="3"/>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w:t>
            </w:r>
          </w:p>
        </w:tc>
        <w:tc>
          <w:tcPr>
            <w:tcW w:w="6011" w:type="dxa"/>
            <w:gridSpan w:val="4"/>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将一个包中的内容拆开投标</w:t>
            </w:r>
          </w:p>
        </w:tc>
        <w:tc>
          <w:tcPr>
            <w:tcW w:w="1751" w:type="dxa"/>
            <w:gridSpan w:val="2"/>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6011" w:type="dxa"/>
            <w:gridSpan w:val="4"/>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投标文件及开标一览表未按规定密封、签字、盖章</w:t>
            </w:r>
          </w:p>
        </w:tc>
        <w:tc>
          <w:tcPr>
            <w:tcW w:w="1751" w:type="dxa"/>
            <w:gridSpan w:val="2"/>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p>
        </w:tc>
        <w:tc>
          <w:tcPr>
            <w:tcW w:w="6011" w:type="dxa"/>
            <w:gridSpan w:val="4"/>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招标文件未规定允许有替代方案时，对同一项目投标时，同时提供两套或两套以上的投标方案</w:t>
            </w:r>
          </w:p>
        </w:tc>
        <w:tc>
          <w:tcPr>
            <w:tcW w:w="1751" w:type="dxa"/>
            <w:gridSpan w:val="2"/>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6011" w:type="dxa"/>
            <w:gridSpan w:val="4"/>
            <w:vAlign w:val="center"/>
          </w:tcPr>
          <w:p>
            <w:pPr>
              <w:rPr>
                <w:rFonts w:asciiTheme="minorEastAsia" w:hAnsiTheme="minorEastAsia" w:eastAsiaTheme="minorEastAsia"/>
                <w:color w:val="000000" w:themeColor="text1"/>
                <w14:textFill>
                  <w14:solidFill>
                    <w14:schemeClr w14:val="tx1"/>
                  </w14:solidFill>
                </w14:textFill>
              </w:rPr>
            </w:pPr>
            <w:r>
              <w:rPr>
                <w:szCs w:val="21"/>
              </w:rPr>
              <w:t>分项报价或投标总价高于预算金额（最高投标限价）的</w:t>
            </w:r>
          </w:p>
        </w:tc>
        <w:tc>
          <w:tcPr>
            <w:tcW w:w="1751"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6011" w:type="dxa"/>
            <w:gridSpan w:val="4"/>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同一项目出现两个及以上报价，按规定又无法确定哪个是有效报价</w:t>
            </w:r>
          </w:p>
        </w:tc>
        <w:tc>
          <w:tcPr>
            <w:tcW w:w="1751"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p>
        </w:tc>
        <w:tc>
          <w:tcPr>
            <w:tcW w:w="6011" w:type="dxa"/>
            <w:gridSpan w:val="4"/>
            <w:vAlign w:val="center"/>
          </w:tcPr>
          <w:p>
            <w:pPr>
              <w:rPr>
                <w:rFonts w:asciiTheme="minorEastAsia" w:hAnsiTheme="minorEastAsia" w:eastAsiaTheme="minorEastAsia"/>
                <w:color w:val="000000" w:themeColor="text1"/>
                <w14:textFill>
                  <w14:solidFill>
                    <w14:schemeClr w14:val="tx1"/>
                  </w14:solidFill>
                </w14:textFill>
              </w:rPr>
            </w:pPr>
            <w:r>
              <w:rPr>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c>
          <w:tcPr>
            <w:tcW w:w="1751"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w:t>
            </w:r>
          </w:p>
        </w:tc>
        <w:tc>
          <w:tcPr>
            <w:tcW w:w="6011" w:type="dxa"/>
            <w:gridSpan w:val="4"/>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投标文件载明的招标项目完成或服务期限不满足招标文件规定的</w:t>
            </w:r>
          </w:p>
        </w:tc>
        <w:tc>
          <w:tcPr>
            <w:tcW w:w="1751" w:type="dxa"/>
            <w:gridSpan w:val="2"/>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w:t>
            </w:r>
          </w:p>
        </w:tc>
        <w:tc>
          <w:tcPr>
            <w:tcW w:w="6011" w:type="dxa"/>
            <w:gridSpan w:val="4"/>
            <w:vAlign w:val="center"/>
          </w:tcPr>
          <w:p>
            <w:pPr>
              <w:rPr>
                <w:rFonts w:asciiTheme="minorEastAsia" w:hAnsiTheme="minorEastAsia" w:eastAsiaTheme="minorEastAsia"/>
              </w:rPr>
            </w:pPr>
            <w:r>
              <w:rPr>
                <w:rFonts w:hint="eastAsia" w:asciiTheme="minorEastAsia" w:hAnsiTheme="minorEastAsia" w:eastAsiaTheme="minorEastAsia"/>
              </w:rPr>
              <w:t>所投货物、工程、服务在质量、技术、方案等方面没有实质性满足招标文件要求</w:t>
            </w:r>
          </w:p>
        </w:tc>
        <w:tc>
          <w:tcPr>
            <w:tcW w:w="1751"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w:t>
            </w:r>
          </w:p>
        </w:tc>
        <w:tc>
          <w:tcPr>
            <w:tcW w:w="6011" w:type="dxa"/>
            <w:gridSpan w:val="4"/>
            <w:vAlign w:val="center"/>
          </w:tcPr>
          <w:p>
            <w:pPr>
              <w:rPr>
                <w:rFonts w:asciiTheme="minorEastAsia" w:hAnsiTheme="minorEastAsia" w:eastAsiaTheme="minorEastAsia"/>
              </w:rPr>
            </w:pPr>
            <w:r>
              <w:rPr>
                <w:rFonts w:hint="eastAsia" w:asciiTheme="minorEastAsia" w:hAnsiTheme="minorEastAsia" w:eastAsiaTheme="minorEastAsia"/>
              </w:rPr>
              <w:t>未按招标文件附件所提供的样式和要求完整填写投标文件或投标文件组成部分不符合</w:t>
            </w:r>
            <w:r>
              <w:rPr>
                <w:rFonts w:hint="eastAsia" w:ascii="宋体" w:hAnsi="宋体"/>
                <w:szCs w:val="21"/>
              </w:rPr>
              <w:t>通用条款第18.1款规定的</w:t>
            </w:r>
          </w:p>
        </w:tc>
        <w:tc>
          <w:tcPr>
            <w:tcW w:w="1751"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w:t>
            </w:r>
          </w:p>
        </w:tc>
        <w:tc>
          <w:tcPr>
            <w:tcW w:w="6011" w:type="dxa"/>
            <w:gridSpan w:val="4"/>
            <w:vAlign w:val="center"/>
          </w:tcPr>
          <w:p>
            <w:pPr>
              <w:rPr>
                <w:rFonts w:asciiTheme="minorEastAsia" w:hAnsiTheme="minorEastAsia" w:eastAsiaTheme="minorEastAsia"/>
                <w:color w:val="000000" w:themeColor="text1"/>
                <w14:textFill>
                  <w14:solidFill>
                    <w14:schemeClr w14:val="tx1"/>
                  </w14:solidFill>
                </w14:textFill>
              </w:rPr>
            </w:pPr>
            <w:r>
              <w:rPr>
                <w:szCs w:val="21"/>
              </w:rPr>
              <w:t>对招标文件中带</w:t>
            </w:r>
            <w:r>
              <w:rPr>
                <w:rFonts w:hint="eastAsia" w:ascii="宋体" w:hAnsi="宋体" w:cs="宋体"/>
                <w:szCs w:val="21"/>
              </w:rPr>
              <w:t>★</w:t>
            </w:r>
            <w:r>
              <w:rPr>
                <w:szCs w:val="21"/>
              </w:rPr>
              <w:t>号条款的响应存在负偏离的</w:t>
            </w:r>
          </w:p>
        </w:tc>
        <w:tc>
          <w:tcPr>
            <w:tcW w:w="1751" w:type="dxa"/>
            <w:gridSpan w:val="2"/>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w:t>
            </w:r>
          </w:p>
        </w:tc>
        <w:tc>
          <w:tcPr>
            <w:tcW w:w="6011" w:type="dxa"/>
            <w:gridSpan w:val="4"/>
            <w:vAlign w:val="center"/>
          </w:tcPr>
          <w:p>
            <w:pPr>
              <w:rPr>
                <w:rFonts w:asciiTheme="minorEastAsia" w:hAnsiTheme="minorEastAsia" w:eastAsiaTheme="minorEastAsia"/>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未按招标文件要求填写《</w:t>
            </w:r>
            <w:r>
              <w:rPr>
                <w:rFonts w:hint="eastAsia"/>
              </w:rPr>
              <w:t>服务条款偏离表</w:t>
            </w:r>
            <w:r>
              <w:rPr>
                <w:rFonts w:hint="eastAsia" w:ascii="宋体" w:hAnsi="宋体"/>
                <w:color w:val="000000" w:themeColor="text1"/>
                <w14:textFill>
                  <w14:solidFill>
                    <w14:schemeClr w14:val="tx1"/>
                  </w14:solidFill>
                </w14:textFill>
              </w:rPr>
              <w:t>》或《商务条款偏离表》</w:t>
            </w:r>
          </w:p>
        </w:tc>
        <w:tc>
          <w:tcPr>
            <w:tcW w:w="1751"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w:t>
            </w:r>
          </w:p>
        </w:tc>
        <w:tc>
          <w:tcPr>
            <w:tcW w:w="6011" w:type="dxa"/>
            <w:gridSpan w:val="4"/>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投标报价有严重缺漏项目</w:t>
            </w:r>
          </w:p>
        </w:tc>
        <w:tc>
          <w:tcPr>
            <w:tcW w:w="1751"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0"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w:t>
            </w:r>
          </w:p>
        </w:tc>
        <w:tc>
          <w:tcPr>
            <w:tcW w:w="6011" w:type="dxa"/>
            <w:gridSpan w:val="4"/>
            <w:vAlign w:val="center"/>
          </w:tcPr>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法律、法规规定的其他情形</w:t>
            </w:r>
          </w:p>
        </w:tc>
        <w:tc>
          <w:tcPr>
            <w:tcW w:w="1751" w:type="dxa"/>
            <w:gridSpan w:val="2"/>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存在/不存在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522" w:type="dxa"/>
            <w:gridSpan w:val="7"/>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73" w:type="dxa"/>
            <w:gridSpan w:val="2"/>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评分类别</w:t>
            </w:r>
          </w:p>
        </w:tc>
        <w:tc>
          <w:tcPr>
            <w:tcW w:w="4891"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评分项目</w:t>
            </w:r>
          </w:p>
        </w:tc>
        <w:tc>
          <w:tcPr>
            <w:tcW w:w="1307"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对应章节</w:t>
            </w:r>
          </w:p>
        </w:tc>
        <w:tc>
          <w:tcPr>
            <w:tcW w:w="1251"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73"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技术部分</w:t>
            </w:r>
          </w:p>
        </w:tc>
        <w:tc>
          <w:tcPr>
            <w:tcW w:w="4891" w:type="dxa"/>
            <w:gridSpan w:val="2"/>
            <w:shd w:val="clear" w:color="auto" w:fill="auto"/>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（请根据评标信息内容调整）</w:t>
            </w:r>
          </w:p>
        </w:tc>
        <w:tc>
          <w:tcPr>
            <w:tcW w:w="1307" w:type="dxa"/>
            <w:gridSpan w:val="2"/>
          </w:tcPr>
          <w:p>
            <w:pPr>
              <w:jc w:val="center"/>
              <w:rPr>
                <w:rFonts w:asciiTheme="minorEastAsia" w:hAnsiTheme="minorEastAsia" w:eastAsiaTheme="minorEastAsia"/>
                <w:b/>
                <w:color w:val="000000" w:themeColor="text1"/>
                <w:szCs w:val="21"/>
                <w14:textFill>
                  <w14:solidFill>
                    <w14:schemeClr w14:val="tx1"/>
                  </w14:solidFill>
                </w14:textFill>
              </w:rPr>
            </w:pPr>
          </w:p>
        </w:tc>
        <w:tc>
          <w:tcPr>
            <w:tcW w:w="1251" w:type="dxa"/>
          </w:tcPr>
          <w:p>
            <w:pPr>
              <w:jc w:val="center"/>
              <w:rPr>
                <w:rFonts w:asciiTheme="minorEastAsia" w:hAnsiTheme="minorEastAsia" w:eastAsiaTheme="minorEastAsia"/>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73" w:type="dxa"/>
            <w:gridSpan w:val="2"/>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商务部分</w:t>
            </w:r>
          </w:p>
        </w:tc>
        <w:tc>
          <w:tcPr>
            <w:tcW w:w="4891" w:type="dxa"/>
            <w:gridSpan w:val="2"/>
            <w:shd w:val="clear" w:color="auto" w:fill="auto"/>
          </w:tcPr>
          <w:p>
            <w:pPr>
              <w:jc w:val="center"/>
              <w:rPr>
                <w:rFonts w:asciiTheme="minorEastAsia" w:hAnsiTheme="minorEastAsia" w:eastAsiaTheme="minorEastAsia"/>
                <w:b/>
                <w:color w:val="000000" w:themeColor="text1"/>
                <w:szCs w:val="21"/>
                <w14:textFill>
                  <w14:solidFill>
                    <w14:schemeClr w14:val="tx1"/>
                  </w14:solidFill>
                </w14:textFill>
              </w:rPr>
            </w:pPr>
          </w:p>
        </w:tc>
        <w:tc>
          <w:tcPr>
            <w:tcW w:w="1307" w:type="dxa"/>
            <w:gridSpan w:val="2"/>
          </w:tcPr>
          <w:p>
            <w:pPr>
              <w:jc w:val="center"/>
              <w:rPr>
                <w:rFonts w:asciiTheme="minorEastAsia" w:hAnsiTheme="minorEastAsia" w:eastAsiaTheme="minorEastAsia"/>
                <w:b/>
                <w:color w:val="000000" w:themeColor="text1"/>
                <w:szCs w:val="21"/>
                <w14:textFill>
                  <w14:solidFill>
                    <w14:schemeClr w14:val="tx1"/>
                  </w14:solidFill>
                </w14:textFill>
              </w:rPr>
            </w:pPr>
          </w:p>
        </w:tc>
        <w:tc>
          <w:tcPr>
            <w:tcW w:w="1251" w:type="dxa"/>
          </w:tcPr>
          <w:p>
            <w:pPr>
              <w:jc w:val="center"/>
              <w:rPr>
                <w:rFonts w:asciiTheme="minorEastAsia" w:hAnsiTheme="minorEastAsia" w:eastAsiaTheme="minorEastAsia"/>
                <w:b/>
                <w:color w:val="000000" w:themeColor="text1"/>
                <w:szCs w:val="21"/>
                <w14:textFill>
                  <w14:solidFill>
                    <w14:schemeClr w14:val="tx1"/>
                  </w14:solidFill>
                </w14:textFill>
              </w:rPr>
            </w:pPr>
          </w:p>
        </w:tc>
      </w:tr>
    </w:tbl>
    <w:p>
      <w:pPr>
        <w:ind w:firstLine="420" w:firstLineChars="200"/>
        <w:rPr>
          <w:rFonts w:ascii="宋体" w:hAnsi="宋体"/>
          <w:szCs w:val="21"/>
        </w:rPr>
      </w:pPr>
      <w:r>
        <w:rPr>
          <w:rFonts w:hint="eastAsia" w:ascii="宋体" w:hAnsi="宋体"/>
          <w:szCs w:val="21"/>
        </w:rPr>
        <w:t>注：对于“</w:t>
      </w:r>
      <w:r>
        <w:rPr>
          <w:rFonts w:hint="eastAsia" w:ascii="宋体" w:hAnsi="宋体"/>
          <w:b/>
          <w:szCs w:val="21"/>
        </w:rPr>
        <w:t>综合评分指引”</w:t>
      </w:r>
      <w:r>
        <w:rPr>
          <w:rFonts w:hint="eastAsia" w:ascii="宋体" w:hAnsi="宋体"/>
          <w:szCs w:val="21"/>
        </w:rPr>
        <w:t>请投标人按照第二册第二章的</w:t>
      </w:r>
      <w:r>
        <w:rPr>
          <w:rFonts w:hint="eastAsia" w:ascii="宋体" w:hAnsi="宋体"/>
          <w:b/>
          <w:szCs w:val="21"/>
        </w:rPr>
        <w:t>《评标信息》</w:t>
      </w:r>
      <w:r>
        <w:rPr>
          <w:rFonts w:hint="eastAsia" w:ascii="宋体" w:hAnsi="宋体"/>
          <w:szCs w:val="21"/>
        </w:rPr>
        <w:t>的评分要求，根据各评分项目以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pPr>
        <w:pStyle w:val="6"/>
        <w:spacing w:before="120" w:after="120"/>
        <w:jc w:val="center"/>
      </w:pPr>
      <w:r>
        <w:rPr>
          <w:rFonts w:ascii="宋体" w:hAnsi="宋体"/>
          <w:bCs w:val="0"/>
          <w:sz w:val="24"/>
        </w:rPr>
        <w:br w:type="page"/>
      </w:r>
      <w:bookmarkStart w:id="267" w:name="_Toc124"/>
      <w:bookmarkStart w:id="268" w:name="_Toc26196"/>
      <w:r>
        <w:rPr>
          <w:rFonts w:hint="eastAsia" w:ascii="黑体"/>
          <w:sz w:val="28"/>
          <w:szCs w:val="28"/>
        </w:rPr>
        <w:t>二、承诺函</w:t>
      </w:r>
      <w:bookmarkEnd w:id="267"/>
      <w:bookmarkEnd w:id="268"/>
    </w:p>
    <w:p>
      <w:pPr>
        <w:pStyle w:val="7"/>
        <w:jc w:val="center"/>
      </w:pPr>
      <w:r>
        <w:rPr>
          <w:rFonts w:hint="eastAsia"/>
        </w:rPr>
        <w:t>政府采购投标及履约承诺函</w:t>
      </w:r>
    </w:p>
    <w:p>
      <w:pPr>
        <w:rPr>
          <w:sz w:val="24"/>
        </w:rPr>
      </w:pPr>
      <w:r>
        <w:rPr>
          <w:rFonts w:hint="eastAsia"/>
          <w:sz w:val="24"/>
        </w:rPr>
        <w:t>致：友和保险经纪有限公司</w:t>
      </w:r>
    </w:p>
    <w:p>
      <w:pPr>
        <w:ind w:firstLine="480" w:firstLineChars="200"/>
        <w:rPr>
          <w:sz w:val="24"/>
        </w:rPr>
      </w:pPr>
      <w:r>
        <w:rPr>
          <w:rFonts w:hint="eastAsia"/>
          <w:sz w:val="24"/>
        </w:rPr>
        <w:t>我公司承诺：</w:t>
      </w:r>
    </w:p>
    <w:p>
      <w:pPr>
        <w:ind w:firstLine="480" w:firstLineChars="200"/>
        <w:rPr>
          <w:sz w:val="24"/>
        </w:rPr>
      </w:pPr>
      <w:r>
        <w:rPr>
          <w:rFonts w:hint="eastAsia"/>
          <w:sz w:val="24"/>
        </w:rPr>
        <w:t>1.我公司已完全理解该项目招标公告所列明的全部条件，亦保证我公司完全符合本项目的投标条件。</w:t>
      </w:r>
    </w:p>
    <w:p>
      <w:pPr>
        <w:ind w:firstLine="480" w:firstLineChars="200"/>
        <w:rPr>
          <w:sz w:val="24"/>
        </w:rPr>
      </w:pPr>
      <w:r>
        <w:rPr>
          <w:rFonts w:hint="eastAsia"/>
          <w:sz w:val="24"/>
        </w:rPr>
        <w:t>2.我公司严格按照贵方提供的标书样本填写和提交相关内容，保证所提交的投标资料全部真实有效，并愿意向贵方及采购人提供任何与本项目有关的数据、情况和技术资料。</w:t>
      </w:r>
    </w:p>
    <w:p>
      <w:pPr>
        <w:ind w:firstLine="480" w:firstLineChars="200"/>
        <w:rPr>
          <w:sz w:val="24"/>
        </w:rPr>
      </w:pPr>
      <w:r>
        <w:rPr>
          <w:rFonts w:hint="eastAsia"/>
          <w:sz w:val="24"/>
        </w:rPr>
        <w:t>3.我公司对本招标项目所提供的货物、工程或服务未侵犯知识产权。我公司已清楚，提供虚假承诺或者被有关单位确认为侵犯知识产权的，三年内不得参加政府采购活动。</w:t>
      </w:r>
    </w:p>
    <w:p>
      <w:pPr>
        <w:ind w:firstLine="480" w:firstLineChars="200"/>
        <w:rPr>
          <w:sz w:val="24"/>
        </w:rPr>
      </w:pPr>
      <w:r>
        <w:rPr>
          <w:rFonts w:hint="eastAsia"/>
          <w:sz w:val="24"/>
        </w:rPr>
        <w:t>4.我公司参与本项目投标前三年内（即从2019年01月开始起算，供应商成立不足三年的可从成立之日起算），在经营活动中没有重大违法记录。</w:t>
      </w:r>
    </w:p>
    <w:p>
      <w:pPr>
        <w:ind w:firstLine="480" w:firstLineChars="200"/>
        <w:rPr>
          <w:sz w:val="24"/>
        </w:rPr>
      </w:pPr>
      <w:r>
        <w:rPr>
          <w:rFonts w:hint="eastAsia"/>
          <w:sz w:val="24"/>
        </w:rPr>
        <w:t>5.我公司参与本项目政府采购活动时不存在被有关部门禁止参与政府采购活动且在有效期内的情况。</w:t>
      </w:r>
    </w:p>
    <w:p>
      <w:pPr>
        <w:ind w:firstLine="480" w:firstLineChars="200"/>
        <w:rPr>
          <w:sz w:val="24"/>
        </w:rPr>
      </w:pPr>
      <w:r>
        <w:rPr>
          <w:rFonts w:hint="eastAsia"/>
          <w:sz w:val="24"/>
        </w:rPr>
        <w:t>6.我公司具备《中华人民共和国政府采购法》第二十二条第一款规定的六项条件。</w:t>
      </w:r>
    </w:p>
    <w:p>
      <w:pPr>
        <w:ind w:firstLine="480" w:firstLineChars="200"/>
        <w:rPr>
          <w:sz w:val="24"/>
        </w:rPr>
      </w:pPr>
      <w:r>
        <w:rPr>
          <w:rFonts w:hint="eastAsia"/>
          <w:sz w:val="24"/>
        </w:rPr>
        <w:t>7.我公司未被列入失信被执行人、重大税收违法案件当事人名单、政府采购严重违法失信行为记录名单</w:t>
      </w:r>
    </w:p>
    <w:p>
      <w:pPr>
        <w:ind w:firstLine="480" w:firstLineChars="200"/>
        <w:rPr>
          <w:sz w:val="24"/>
        </w:rPr>
      </w:pPr>
      <w:r>
        <w:rPr>
          <w:rFonts w:hint="eastAsia"/>
          <w:sz w:val="24"/>
        </w:rPr>
        <w:t>8.我公司参与该项目投标，严格遵守政府采购相关法律，不造假，不围标、串标、陪标。我公司已清楚，如违反上述要求，投标将作无效处理，被列入不良记录名单并在网上曝光，同时将被提请政府采购主管部门给予一定年限内禁止参与政府采购活动或其他处罚。</w:t>
      </w:r>
    </w:p>
    <w:p>
      <w:pPr>
        <w:ind w:firstLine="480" w:firstLineChars="200"/>
        <w:rPr>
          <w:sz w:val="24"/>
        </w:rPr>
      </w:pPr>
      <w:r>
        <w:rPr>
          <w:rFonts w:hint="eastAsia"/>
          <w:sz w:val="24"/>
        </w:rPr>
        <w:t>9.我公司如果中标，做到守信，不偷工减料，依照本项目招标文件需求内容、签署的采购合同及本公司在投标中所作的一切承诺履约。我公司对本项目的报价负责，中标后将严格按照本项目招标文件需求、签署的采购合同及我公司在投标中所作的全部承诺履行。</w:t>
      </w:r>
    </w:p>
    <w:p>
      <w:pPr>
        <w:ind w:firstLine="480" w:firstLineChars="200"/>
        <w:rPr>
          <w:sz w:val="24"/>
        </w:rPr>
      </w:pPr>
      <w:r>
        <w:rPr>
          <w:rFonts w:hint="eastAsia"/>
          <w:sz w:val="24"/>
        </w:rPr>
        <w:t>我公司清楚，若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ind w:firstLine="480" w:firstLineChars="200"/>
        <w:rPr>
          <w:sz w:val="24"/>
        </w:rPr>
      </w:pPr>
      <w:r>
        <w:rPr>
          <w:rFonts w:hint="eastAsia"/>
          <w:sz w:val="24"/>
        </w:rPr>
        <w:t>10.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ind w:firstLine="480" w:firstLineChars="200"/>
        <w:rPr>
          <w:sz w:val="24"/>
        </w:rPr>
      </w:pPr>
      <w:r>
        <w:rPr>
          <w:rFonts w:hint="eastAsia"/>
          <w:sz w:val="24"/>
        </w:rPr>
        <w:t>11.我公司中标后项目不转包，未经采购人同意不进行分包。</w:t>
      </w:r>
    </w:p>
    <w:p>
      <w:pPr>
        <w:ind w:firstLine="480" w:firstLineChars="200"/>
        <w:rPr>
          <w:sz w:val="24"/>
        </w:rPr>
      </w:pPr>
      <w:r>
        <w:rPr>
          <w:rFonts w:hint="eastAsia"/>
          <w:sz w:val="24"/>
        </w:rPr>
        <w:t>12.我公司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公司承担全部责任。</w:t>
      </w:r>
    </w:p>
    <w:p>
      <w:pPr>
        <w:ind w:firstLine="480" w:firstLineChars="200"/>
        <w:rPr>
          <w:sz w:val="24"/>
        </w:rPr>
      </w:pPr>
      <w:r>
        <w:rPr>
          <w:rFonts w:hint="eastAsia"/>
          <w:sz w:val="24"/>
        </w:rPr>
        <w:t>13.若我公司所投货物涉及《财政部生态环境部关于印发节能产品政府采购品目清单的通知》（财库〔2019〕19号）列明的政府采购强制产品，则所投该产品符合节能产品的认证要求。</w:t>
      </w:r>
    </w:p>
    <w:p>
      <w:pPr>
        <w:ind w:firstLine="480" w:firstLineChars="200"/>
        <w:rPr>
          <w:sz w:val="24"/>
        </w:rPr>
      </w:pPr>
      <w:r>
        <w:rPr>
          <w:rFonts w:hint="eastAsia"/>
          <w:sz w:val="24"/>
        </w:rPr>
        <w:t>14.我公司不存在单位法定代表人（负责人）为同一人或者存在直接控股、管理关系的不同供应商，同时参加本项目投标之情形；我公司未为本项目提供过整体设计、规范编制或者项目管理、监理、检测等服务。</w:t>
      </w:r>
    </w:p>
    <w:p>
      <w:pPr>
        <w:ind w:firstLine="480" w:firstLineChars="200"/>
        <w:rPr>
          <w:sz w:val="24"/>
        </w:rPr>
      </w:pPr>
      <w:r>
        <w:rPr>
          <w:rFonts w:hint="eastAsia"/>
          <w:sz w:val="24"/>
        </w:rPr>
        <w:t>以上承诺，如有违反，愿依照国家相关法律法规处理，并承担由此给采购人带来的损失。</w:t>
      </w:r>
    </w:p>
    <w:p>
      <w:pPr>
        <w:spacing w:line="360" w:lineRule="exact"/>
        <w:ind w:firstLine="3600" w:firstLineChars="1500"/>
        <w:jc w:val="left"/>
        <w:rPr>
          <w:sz w:val="24"/>
        </w:rPr>
      </w:pPr>
      <w:r>
        <w:rPr>
          <w:rFonts w:hint="eastAsia"/>
          <w:sz w:val="24"/>
        </w:rPr>
        <w:t>法定代表人或其授权委托人（</w:t>
      </w:r>
      <w:r>
        <w:rPr>
          <w:rFonts w:hint="eastAsia"/>
          <w:b/>
          <w:sz w:val="24"/>
        </w:rPr>
        <w:t>签名</w:t>
      </w:r>
      <w:r>
        <w:rPr>
          <w:rFonts w:hint="eastAsia"/>
          <w:sz w:val="24"/>
        </w:rPr>
        <w:t>）：</w:t>
      </w:r>
    </w:p>
    <w:p>
      <w:pPr>
        <w:spacing w:line="360" w:lineRule="exact"/>
        <w:ind w:firstLine="3600" w:firstLineChars="1500"/>
        <w:jc w:val="left"/>
        <w:rPr>
          <w:sz w:val="24"/>
        </w:rPr>
      </w:pPr>
      <w:r>
        <w:rPr>
          <w:rFonts w:hint="eastAsia"/>
          <w:sz w:val="24"/>
        </w:rPr>
        <w:t>投标单位（</w:t>
      </w:r>
      <w:r>
        <w:rPr>
          <w:rFonts w:hint="eastAsia"/>
          <w:b/>
          <w:sz w:val="24"/>
        </w:rPr>
        <w:t>盖公章</w:t>
      </w:r>
      <w:r>
        <w:rPr>
          <w:rFonts w:hint="eastAsia"/>
          <w:sz w:val="24"/>
        </w:rPr>
        <w:t>）：</w:t>
      </w:r>
    </w:p>
    <w:p>
      <w:pPr>
        <w:spacing w:line="360" w:lineRule="exact"/>
        <w:jc w:val="left"/>
        <w:rPr>
          <w:sz w:val="24"/>
        </w:rPr>
      </w:pPr>
    </w:p>
    <w:p>
      <w:pPr>
        <w:jc w:val="right"/>
      </w:pPr>
      <w:r>
        <w:rPr>
          <w:rFonts w:hint="eastAsia"/>
          <w:sz w:val="24"/>
        </w:rPr>
        <w:t xml:space="preserve">                  日期：   年  月  日</w:t>
      </w:r>
      <w:r>
        <w:br w:type="page"/>
      </w:r>
    </w:p>
    <w:p>
      <w:pPr>
        <w:pStyle w:val="7"/>
        <w:jc w:val="center"/>
        <w:rPr>
          <w:szCs w:val="32"/>
        </w:rPr>
      </w:pPr>
      <w:r>
        <w:rPr>
          <w:rFonts w:hint="eastAsia"/>
        </w:rPr>
        <w:t>投标人诚信承诺函</w:t>
      </w:r>
    </w:p>
    <w:p>
      <w:pPr>
        <w:spacing w:line="360" w:lineRule="auto"/>
        <w:jc w:val="left"/>
        <w:rPr>
          <w:rFonts w:ascii="宋体" w:hAnsi="宋体"/>
          <w:sz w:val="24"/>
        </w:rPr>
      </w:pPr>
      <w:r>
        <w:rPr>
          <w:rFonts w:hint="eastAsia" w:ascii="宋体" w:hAnsi="宋体"/>
          <w:sz w:val="24"/>
        </w:rPr>
        <w:t>致</w:t>
      </w:r>
      <w:r>
        <w:rPr>
          <w:rFonts w:hint="eastAsia" w:ascii="宋体" w:hAnsi="宋体"/>
          <w:kern w:val="0"/>
          <w:sz w:val="24"/>
        </w:rPr>
        <w:t>友和保险经纪有限公司：</w:t>
      </w:r>
    </w:p>
    <w:p>
      <w:pPr>
        <w:spacing w:line="360" w:lineRule="auto"/>
        <w:ind w:firstLine="480" w:firstLineChars="200"/>
        <w:jc w:val="left"/>
        <w:rPr>
          <w:rFonts w:ascii="宋体" w:hAnsi="宋体"/>
          <w:sz w:val="24"/>
        </w:rPr>
      </w:pPr>
      <w:r>
        <w:rPr>
          <w:rFonts w:hint="eastAsia" w:ascii="宋体" w:hAnsi="宋体"/>
          <w:sz w:val="24"/>
        </w:rPr>
        <w:t>我公司承诺近三年在政府采购招标投标活动中，不存在以下情形：</w:t>
      </w:r>
    </w:p>
    <w:p>
      <w:pPr>
        <w:pStyle w:val="75"/>
        <w:tabs>
          <w:tab w:val="left" w:pos="567"/>
        </w:tabs>
        <w:spacing w:line="360" w:lineRule="auto"/>
        <w:ind w:left="420"/>
        <w:rPr>
          <w:b w:val="0"/>
          <w:szCs w:val="24"/>
        </w:rPr>
      </w:pPr>
      <w:r>
        <w:rPr>
          <w:rFonts w:hint="eastAsia"/>
          <w:b w:val="0"/>
          <w:szCs w:val="24"/>
        </w:rPr>
        <w:t>（一）被纪检监察部门立案调查，违法违规事实成立的；</w:t>
      </w:r>
    </w:p>
    <w:p>
      <w:pPr>
        <w:pStyle w:val="75"/>
        <w:tabs>
          <w:tab w:val="left" w:pos="567"/>
        </w:tabs>
        <w:spacing w:line="360" w:lineRule="auto"/>
        <w:ind w:left="420"/>
        <w:rPr>
          <w:b w:val="0"/>
          <w:szCs w:val="24"/>
        </w:rPr>
      </w:pPr>
      <w:r>
        <w:rPr>
          <w:rFonts w:hint="eastAsia"/>
          <w:b w:val="0"/>
          <w:szCs w:val="24"/>
        </w:rPr>
        <w:t>（二）未按本条例规定签订、履行采购合同，造成严重后果的；</w:t>
      </w:r>
    </w:p>
    <w:p>
      <w:pPr>
        <w:pStyle w:val="75"/>
        <w:tabs>
          <w:tab w:val="left" w:pos="567"/>
        </w:tabs>
        <w:spacing w:line="360" w:lineRule="auto"/>
        <w:ind w:left="420"/>
        <w:rPr>
          <w:b w:val="0"/>
          <w:szCs w:val="24"/>
        </w:rPr>
      </w:pPr>
      <w:r>
        <w:rPr>
          <w:rFonts w:hint="eastAsia"/>
          <w:b w:val="0"/>
          <w:szCs w:val="24"/>
        </w:rPr>
        <w:t>（三）隐瞒真实情况，提供虚假资料的；</w:t>
      </w:r>
    </w:p>
    <w:p>
      <w:pPr>
        <w:pStyle w:val="75"/>
        <w:tabs>
          <w:tab w:val="left" w:pos="567"/>
        </w:tabs>
        <w:spacing w:line="360" w:lineRule="auto"/>
        <w:ind w:left="420"/>
        <w:rPr>
          <w:b w:val="0"/>
          <w:szCs w:val="24"/>
        </w:rPr>
      </w:pPr>
      <w:r>
        <w:rPr>
          <w:rFonts w:hint="eastAsia"/>
          <w:b w:val="0"/>
          <w:szCs w:val="24"/>
        </w:rPr>
        <w:t>（四）以非法手段排斥其他供应商参与竞争的；</w:t>
      </w:r>
    </w:p>
    <w:p>
      <w:pPr>
        <w:pStyle w:val="75"/>
        <w:tabs>
          <w:tab w:val="left" w:pos="567"/>
        </w:tabs>
        <w:spacing w:line="360" w:lineRule="auto"/>
        <w:ind w:left="420"/>
        <w:rPr>
          <w:b w:val="0"/>
          <w:szCs w:val="24"/>
        </w:rPr>
      </w:pPr>
      <w:r>
        <w:rPr>
          <w:rFonts w:hint="eastAsia"/>
          <w:b w:val="0"/>
          <w:szCs w:val="24"/>
        </w:rPr>
        <w:t>（五）与其他采购参加人串通投标的；</w:t>
      </w:r>
    </w:p>
    <w:p>
      <w:pPr>
        <w:pStyle w:val="75"/>
        <w:tabs>
          <w:tab w:val="left" w:pos="567"/>
        </w:tabs>
        <w:spacing w:line="360" w:lineRule="auto"/>
        <w:ind w:left="420"/>
        <w:rPr>
          <w:b w:val="0"/>
          <w:szCs w:val="24"/>
        </w:rPr>
      </w:pPr>
      <w:r>
        <w:rPr>
          <w:rFonts w:hint="eastAsia"/>
          <w:b w:val="0"/>
          <w:szCs w:val="24"/>
        </w:rPr>
        <w:t xml:space="preserve">（六）在采购活动中应当回避而未回避的； </w:t>
      </w:r>
    </w:p>
    <w:p>
      <w:pPr>
        <w:pStyle w:val="75"/>
        <w:tabs>
          <w:tab w:val="left" w:pos="567"/>
        </w:tabs>
        <w:spacing w:line="360" w:lineRule="auto"/>
        <w:ind w:left="420"/>
        <w:rPr>
          <w:b w:val="0"/>
          <w:szCs w:val="24"/>
        </w:rPr>
      </w:pPr>
      <w:r>
        <w:rPr>
          <w:rFonts w:hint="eastAsia"/>
          <w:b w:val="0"/>
          <w:szCs w:val="24"/>
        </w:rPr>
        <w:t xml:space="preserve">（七）恶意投诉的； </w:t>
      </w:r>
    </w:p>
    <w:p>
      <w:pPr>
        <w:pStyle w:val="75"/>
        <w:tabs>
          <w:tab w:val="left" w:pos="567"/>
        </w:tabs>
        <w:spacing w:line="360" w:lineRule="auto"/>
        <w:ind w:left="420"/>
        <w:rPr>
          <w:b w:val="0"/>
          <w:szCs w:val="24"/>
        </w:rPr>
      </w:pPr>
      <w:r>
        <w:rPr>
          <w:rFonts w:hint="eastAsia"/>
          <w:b w:val="0"/>
          <w:szCs w:val="24"/>
        </w:rPr>
        <w:t xml:space="preserve">（八）向采购项目相关人行贿或者提供其他不当利益的； </w:t>
      </w:r>
    </w:p>
    <w:p>
      <w:pPr>
        <w:pStyle w:val="75"/>
        <w:tabs>
          <w:tab w:val="left" w:pos="567"/>
        </w:tabs>
        <w:spacing w:line="360" w:lineRule="auto"/>
        <w:ind w:left="420"/>
        <w:rPr>
          <w:b w:val="0"/>
          <w:szCs w:val="24"/>
        </w:rPr>
      </w:pPr>
      <w:r>
        <w:rPr>
          <w:rFonts w:hint="eastAsia"/>
          <w:b w:val="0"/>
          <w:szCs w:val="24"/>
        </w:rPr>
        <w:t>（九）阻碍、抗拒主管部门监督检查的；</w:t>
      </w:r>
    </w:p>
    <w:p>
      <w:pPr>
        <w:pStyle w:val="75"/>
        <w:tabs>
          <w:tab w:val="left" w:pos="567"/>
        </w:tabs>
        <w:spacing w:line="360" w:lineRule="auto"/>
        <w:ind w:left="420"/>
        <w:rPr>
          <w:b w:val="0"/>
          <w:szCs w:val="24"/>
        </w:rPr>
      </w:pPr>
      <w:r>
        <w:rPr>
          <w:rFonts w:hint="eastAsia"/>
          <w:b w:val="0"/>
          <w:szCs w:val="24"/>
        </w:rPr>
        <w:t>（十）履约检查不合格或者评价为差的；</w:t>
      </w:r>
    </w:p>
    <w:p>
      <w:pPr>
        <w:spacing w:line="360" w:lineRule="auto"/>
        <w:ind w:firstLine="480" w:firstLineChars="200"/>
        <w:jc w:val="left"/>
        <w:rPr>
          <w:rFonts w:ascii="宋体" w:hAnsi="宋体"/>
          <w:sz w:val="24"/>
        </w:rPr>
      </w:pPr>
      <w:r>
        <w:rPr>
          <w:rFonts w:hint="eastAsia" w:ascii="宋体" w:hAnsi="宋体"/>
          <w:sz w:val="24"/>
        </w:rPr>
        <w:t>（十一）主管部门认定的其他情形。</w:t>
      </w:r>
    </w:p>
    <w:p>
      <w:pPr>
        <w:spacing w:line="360" w:lineRule="auto"/>
        <w:ind w:firstLine="480" w:firstLineChars="200"/>
        <w:jc w:val="left"/>
        <w:rPr>
          <w:rFonts w:ascii="宋体" w:hAnsi="宋体"/>
          <w:sz w:val="24"/>
        </w:rPr>
      </w:pPr>
      <w:r>
        <w:rPr>
          <w:rFonts w:hint="eastAsia" w:ascii="宋体" w:hAnsi="宋体"/>
          <w:sz w:val="24"/>
        </w:rPr>
        <w:t>如我司存在以上情形，被有关主管部门按照《深圳经济特区政府采购条例》第57条处罚</w:t>
      </w:r>
      <w:r>
        <w:rPr>
          <w:rFonts w:hint="eastAsia" w:ascii="宋体" w:hAnsi="宋体"/>
          <w:sz w:val="24"/>
          <w:lang w:eastAsia="zh-CN"/>
        </w:rPr>
        <w:t>，</w:t>
      </w:r>
      <w:r>
        <w:rPr>
          <w:rFonts w:hint="eastAsia" w:ascii="宋体" w:hAnsi="宋体"/>
          <w:sz w:val="24"/>
        </w:rPr>
        <w:t>或者上述行为超出法定追诉时效未被追诉</w:t>
      </w:r>
      <w:r>
        <w:rPr>
          <w:rFonts w:hint="eastAsia" w:ascii="宋体" w:hAnsi="宋体"/>
          <w:sz w:val="24"/>
          <w:lang w:eastAsia="zh-CN"/>
        </w:rPr>
        <w:t>，</w:t>
      </w:r>
      <w:bookmarkStart w:id="289" w:name="_GoBack"/>
      <w:bookmarkEnd w:id="289"/>
      <w:r>
        <w:rPr>
          <w:rFonts w:hint="eastAsia" w:ascii="宋体" w:hAnsi="宋体"/>
          <w:sz w:val="24"/>
        </w:rPr>
        <w:t>或者上述情节轻微未给予禁止参加政府采购的行政处罚，我司自愿承担虚假应标以及其他一切不利的法律后果。</w:t>
      </w:r>
    </w:p>
    <w:p>
      <w:pPr>
        <w:spacing w:line="360" w:lineRule="auto"/>
        <w:ind w:firstLine="480" w:firstLineChars="200"/>
        <w:jc w:val="left"/>
        <w:rPr>
          <w:rFonts w:ascii="宋体" w:hAnsi="宋体"/>
          <w:sz w:val="24"/>
        </w:rPr>
      </w:pPr>
      <w:r>
        <w:rPr>
          <w:rFonts w:hint="eastAsia" w:ascii="宋体" w:hAnsi="宋体"/>
          <w:sz w:val="24"/>
        </w:rPr>
        <w:t>特此承诺。</w:t>
      </w:r>
    </w:p>
    <w:p>
      <w:pPr>
        <w:spacing w:line="360" w:lineRule="auto"/>
        <w:jc w:val="right"/>
        <w:rPr>
          <w:rFonts w:ascii="宋体" w:hAnsi="宋体"/>
          <w:sz w:val="24"/>
        </w:rPr>
      </w:pPr>
    </w:p>
    <w:p>
      <w:pPr>
        <w:spacing w:line="360" w:lineRule="auto"/>
        <w:jc w:val="right"/>
        <w:rPr>
          <w:rFonts w:ascii="宋体" w:hAnsi="宋体"/>
          <w:sz w:val="24"/>
        </w:rPr>
      </w:pPr>
    </w:p>
    <w:p>
      <w:pPr>
        <w:ind w:firstLine="3600" w:firstLineChars="1500"/>
        <w:jc w:val="left"/>
        <w:rPr>
          <w:sz w:val="24"/>
        </w:rPr>
      </w:pPr>
      <w:r>
        <w:rPr>
          <w:rFonts w:hint="eastAsia"/>
          <w:sz w:val="24"/>
        </w:rPr>
        <w:t>法定代表人或其授权委托人（</w:t>
      </w:r>
      <w:r>
        <w:rPr>
          <w:rFonts w:hint="eastAsia"/>
          <w:b/>
          <w:sz w:val="24"/>
        </w:rPr>
        <w:t>签名</w:t>
      </w:r>
      <w:r>
        <w:rPr>
          <w:rFonts w:hint="eastAsia"/>
          <w:sz w:val="24"/>
        </w:rPr>
        <w:t>）：</w:t>
      </w:r>
    </w:p>
    <w:p>
      <w:pPr>
        <w:jc w:val="left"/>
        <w:rPr>
          <w:sz w:val="24"/>
        </w:rPr>
      </w:pPr>
    </w:p>
    <w:p>
      <w:pPr>
        <w:ind w:firstLine="3600" w:firstLineChars="1500"/>
        <w:jc w:val="left"/>
        <w:rPr>
          <w:sz w:val="24"/>
        </w:rPr>
      </w:pPr>
      <w:r>
        <w:rPr>
          <w:rFonts w:hint="eastAsia"/>
          <w:sz w:val="24"/>
        </w:rPr>
        <w:t>投标单位（</w:t>
      </w:r>
      <w:r>
        <w:rPr>
          <w:rFonts w:hint="eastAsia"/>
          <w:b/>
          <w:sz w:val="24"/>
        </w:rPr>
        <w:t>盖公章</w:t>
      </w:r>
      <w:r>
        <w:rPr>
          <w:rFonts w:hint="eastAsia"/>
          <w:sz w:val="24"/>
        </w:rPr>
        <w:t>）：</w:t>
      </w:r>
    </w:p>
    <w:p>
      <w:pPr>
        <w:jc w:val="left"/>
        <w:rPr>
          <w:sz w:val="24"/>
        </w:rPr>
      </w:pPr>
    </w:p>
    <w:p>
      <w:pPr>
        <w:jc w:val="right"/>
        <w:rPr>
          <w:sz w:val="24"/>
        </w:rPr>
      </w:pPr>
      <w:r>
        <w:rPr>
          <w:rFonts w:hint="eastAsia"/>
          <w:sz w:val="24"/>
        </w:rPr>
        <w:t>日期：   年  月  日</w:t>
      </w:r>
    </w:p>
    <w:p>
      <w:pPr>
        <w:pStyle w:val="6"/>
        <w:jc w:val="center"/>
      </w:pPr>
      <w:r>
        <w:rPr>
          <w:rFonts w:ascii="宋体" w:hAnsi="宋体"/>
          <w:b w:val="0"/>
          <w:bCs w:val="0"/>
          <w:sz w:val="24"/>
          <w:szCs w:val="24"/>
        </w:rPr>
        <w:br w:type="page"/>
      </w:r>
      <w:bookmarkStart w:id="269" w:name="_Toc6519"/>
      <w:r>
        <w:rPr>
          <w:rFonts w:hint="eastAsia" w:ascii="黑体"/>
          <w:sz w:val="28"/>
          <w:szCs w:val="28"/>
        </w:rPr>
        <w:t>三、法定代表人资格证明书</w:t>
      </w:r>
      <w:bookmarkEnd w:id="269"/>
    </w:p>
    <w:p>
      <w:pPr>
        <w:spacing w:line="480" w:lineRule="exact"/>
        <w:rPr>
          <w:rFonts w:ascii="宋体"/>
          <w:sz w:val="24"/>
        </w:rPr>
      </w:pPr>
    </w:p>
    <w:p>
      <w:pPr>
        <w:snapToGrid w:val="0"/>
        <w:rPr>
          <w:rFonts w:ascii="宋体" w:hAnsi="宋体" w:cs="Arial"/>
          <w:bCs/>
          <w:sz w:val="24"/>
        </w:rPr>
      </w:pPr>
      <w:r>
        <w:rPr>
          <w:rFonts w:hint="eastAsia" w:ascii="宋体" w:hAnsi="宋体" w:cs="Arial"/>
          <w:bCs/>
          <w:sz w:val="24"/>
        </w:rPr>
        <w:t>单位名称：</w:t>
      </w:r>
    </w:p>
    <w:p>
      <w:pPr>
        <w:snapToGrid w:val="0"/>
        <w:rPr>
          <w:rFonts w:ascii="宋体" w:hAnsi="宋体" w:cs="Arial"/>
          <w:bCs/>
          <w:sz w:val="24"/>
        </w:rPr>
      </w:pPr>
      <w:r>
        <w:rPr>
          <w:rFonts w:hint="eastAsia" w:ascii="宋体" w:hAnsi="宋体" w:cs="Arial"/>
          <w:bCs/>
          <w:sz w:val="24"/>
        </w:rPr>
        <w:t>地    址：</w:t>
      </w:r>
    </w:p>
    <w:p>
      <w:pPr>
        <w:snapToGrid w:val="0"/>
        <w:rPr>
          <w:rFonts w:ascii="宋体" w:hAnsi="宋体" w:cs="Arial"/>
          <w:bCs/>
          <w:sz w:val="24"/>
        </w:rPr>
      </w:pPr>
      <w:r>
        <w:rPr>
          <w:rFonts w:hint="eastAsia" w:ascii="宋体" w:hAnsi="宋体" w:cs="Arial"/>
          <w:bCs/>
          <w:sz w:val="24"/>
        </w:rPr>
        <w:t>姓名： 性别：年龄：职务：</w:t>
      </w:r>
    </w:p>
    <w:p>
      <w:pPr>
        <w:snapToGrid w:val="0"/>
        <w:ind w:firstLine="1080" w:firstLineChars="450"/>
        <w:rPr>
          <w:rFonts w:ascii="宋体" w:hAnsi="宋体" w:cs="Arial"/>
          <w:bCs/>
          <w:sz w:val="24"/>
          <w:u w:val="single"/>
        </w:rPr>
      </w:pPr>
    </w:p>
    <w:p>
      <w:pPr>
        <w:snapToGrid w:val="0"/>
        <w:ind w:firstLine="480" w:firstLineChars="200"/>
        <w:rPr>
          <w:rFonts w:ascii="宋体" w:hAnsi="宋体" w:cs="Arial"/>
          <w:bCs/>
          <w:sz w:val="24"/>
        </w:rPr>
      </w:pPr>
      <w:r>
        <w:rPr>
          <w:rFonts w:hint="eastAsia" w:ascii="宋体" w:hAnsi="宋体" w:cs="Arial"/>
          <w:bCs/>
          <w:sz w:val="24"/>
        </w:rPr>
        <w:t>系  的法定代表人。为</w:t>
      </w:r>
      <w:r>
        <w:rPr>
          <w:rFonts w:hint="eastAsia" w:ascii="宋体" w:hAnsi="宋体" w:cs="Arial"/>
          <w:bCs/>
          <w:sz w:val="24"/>
          <w:u w:val="single"/>
        </w:rPr>
        <w:t xml:space="preserve">         </w:t>
      </w:r>
      <w:r>
        <w:rPr>
          <w:rFonts w:hint="eastAsia" w:ascii="宋体" w:hAnsi="宋体" w:cs="Arial"/>
          <w:bCs/>
          <w:sz w:val="24"/>
        </w:rPr>
        <w:t>项目签署的投标文件、进行合同投标、签署合同和处理与之有关的一切事务。</w:t>
      </w:r>
    </w:p>
    <w:p>
      <w:pPr>
        <w:snapToGrid w:val="0"/>
        <w:rPr>
          <w:rFonts w:ascii="宋体" w:hAnsi="宋体" w:cs="Arial"/>
          <w:bCs/>
          <w:sz w:val="24"/>
        </w:rPr>
      </w:pPr>
      <w:r>
        <w:rPr>
          <w:rFonts w:hint="eastAsia" w:ascii="宋体" w:hAnsi="宋体" w:cs="Arial"/>
          <w:bCs/>
          <w:sz w:val="24"/>
        </w:rPr>
        <w:t>特此证明</w:t>
      </w:r>
    </w:p>
    <w:p>
      <w:pPr>
        <w:snapToGrid w:val="0"/>
        <w:rPr>
          <w:sz w:val="24"/>
        </w:rPr>
      </w:pPr>
    </w:p>
    <w:p>
      <w:pPr>
        <w:ind w:firstLine="3600" w:firstLineChars="1500"/>
        <w:jc w:val="left"/>
        <w:rPr>
          <w:sz w:val="24"/>
        </w:rPr>
      </w:pPr>
      <w:r>
        <w:rPr>
          <w:rFonts w:hint="eastAsia"/>
          <w:sz w:val="24"/>
        </w:rPr>
        <w:t>法定代表人（</w:t>
      </w:r>
      <w:r>
        <w:rPr>
          <w:rFonts w:hint="eastAsia"/>
          <w:b/>
          <w:sz w:val="24"/>
        </w:rPr>
        <w:t>签名</w:t>
      </w:r>
      <w:r>
        <w:rPr>
          <w:rFonts w:hint="eastAsia"/>
          <w:sz w:val="24"/>
        </w:rPr>
        <w:t>）：</w:t>
      </w:r>
    </w:p>
    <w:p>
      <w:pPr>
        <w:jc w:val="left"/>
        <w:rPr>
          <w:sz w:val="24"/>
        </w:rPr>
      </w:pPr>
    </w:p>
    <w:p>
      <w:pPr>
        <w:ind w:firstLine="3600" w:firstLineChars="1500"/>
        <w:jc w:val="left"/>
        <w:rPr>
          <w:sz w:val="24"/>
        </w:rPr>
      </w:pPr>
      <w:r>
        <w:rPr>
          <w:rFonts w:hint="eastAsia"/>
          <w:sz w:val="24"/>
        </w:rPr>
        <w:t>投标单位（</w:t>
      </w:r>
      <w:r>
        <w:rPr>
          <w:rFonts w:hint="eastAsia"/>
          <w:b/>
          <w:sz w:val="24"/>
        </w:rPr>
        <w:t>盖公章</w:t>
      </w:r>
      <w:r>
        <w:rPr>
          <w:rFonts w:hint="eastAsia"/>
          <w:sz w:val="24"/>
        </w:rPr>
        <w:t>）：</w:t>
      </w:r>
    </w:p>
    <w:p>
      <w:pPr>
        <w:jc w:val="left"/>
        <w:rPr>
          <w:sz w:val="24"/>
        </w:rPr>
      </w:pPr>
    </w:p>
    <w:p>
      <w:pPr>
        <w:jc w:val="right"/>
        <w:rPr>
          <w:sz w:val="24"/>
        </w:rPr>
      </w:pPr>
      <w:r>
        <w:rPr>
          <w:rFonts w:hint="eastAsia"/>
          <w:sz w:val="24"/>
        </w:rPr>
        <w:t>日期：  年   月  日</w:t>
      </w: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left="735" w:hanging="735" w:hangingChars="350"/>
        <w:rPr>
          <w:rFonts w:ascii="宋体" w:hAnsi="宋体" w:cs="Arial"/>
          <w:bCs/>
          <w:szCs w:val="21"/>
        </w:rPr>
      </w:pPr>
      <w:r>
        <w:rPr>
          <w:rFonts w:hint="eastAsia" w:ascii="宋体" w:hAnsi="宋体" w:cs="Arial"/>
          <w:bCs/>
          <w:szCs w:val="21"/>
        </w:rPr>
        <w:t>说明：</w:t>
      </w:r>
    </w:p>
    <w:p>
      <w:pPr>
        <w:snapToGrid w:val="0"/>
        <w:ind w:firstLine="420" w:firstLineChars="200"/>
        <w:rPr>
          <w:rFonts w:ascii="宋体" w:hAnsi="宋体" w:cs="Arial"/>
          <w:bCs/>
          <w:szCs w:val="21"/>
        </w:rPr>
      </w:pPr>
      <w:r>
        <w:rPr>
          <w:rFonts w:hint="eastAsia" w:ascii="宋体" w:hAnsi="宋体" w:cs="Arial"/>
          <w:bCs/>
          <w:szCs w:val="21"/>
        </w:rPr>
        <w:t>1. 本证明书要求投标人提供</w:t>
      </w:r>
      <w:r>
        <w:rPr>
          <w:rFonts w:hint="eastAsia" w:ascii="宋体" w:hAnsi="宋体" w:cs="Arial"/>
          <w:b/>
          <w:bCs/>
          <w:szCs w:val="21"/>
        </w:rPr>
        <w:t>加盖公章</w:t>
      </w:r>
      <w:r>
        <w:rPr>
          <w:rFonts w:hint="eastAsia" w:ascii="宋体" w:hAnsi="宋体" w:cs="Arial"/>
          <w:bCs/>
          <w:szCs w:val="21"/>
        </w:rPr>
        <w:t>后的原件方为有效；</w:t>
      </w:r>
    </w:p>
    <w:p>
      <w:pPr>
        <w:snapToGrid w:val="0"/>
        <w:ind w:firstLine="420" w:firstLineChars="200"/>
        <w:rPr>
          <w:rFonts w:ascii="宋体" w:hAnsi="宋体" w:cs="Arial"/>
          <w:bCs/>
          <w:szCs w:val="21"/>
        </w:rPr>
      </w:pPr>
      <w:r>
        <w:rPr>
          <w:rFonts w:hint="eastAsia" w:ascii="宋体" w:hAnsi="宋体" w:cs="Arial"/>
          <w:bCs/>
          <w:szCs w:val="21"/>
        </w:rPr>
        <w:t>2. 须提供法定代表人的身份证复印件（附后）。</w:t>
      </w:r>
    </w:p>
    <w:p>
      <w:pPr>
        <w:pStyle w:val="6"/>
        <w:spacing w:before="120" w:after="120"/>
        <w:jc w:val="center"/>
        <w:rPr>
          <w:rFonts w:ascii="宋体"/>
          <w:b w:val="0"/>
          <w:sz w:val="28"/>
        </w:rPr>
      </w:pPr>
      <w:r>
        <w:br w:type="page"/>
      </w:r>
      <w:bookmarkStart w:id="270" w:name="_Toc1544"/>
      <w:r>
        <w:rPr>
          <w:rFonts w:hint="eastAsia" w:ascii="黑体"/>
          <w:sz w:val="28"/>
          <w:szCs w:val="28"/>
        </w:rPr>
        <w:t>四、法定代表人授权书</w:t>
      </w:r>
      <w:bookmarkEnd w:id="270"/>
    </w:p>
    <w:p>
      <w:pPr>
        <w:rPr>
          <w:rFonts w:ascii="宋体" w:cs="Arial"/>
          <w:bCs/>
          <w:sz w:val="24"/>
        </w:rPr>
      </w:pPr>
    </w:p>
    <w:p>
      <w:pPr>
        <w:rPr>
          <w:rFonts w:ascii="宋体" w:hAnsi="宋体" w:cs="Arial"/>
          <w:bCs/>
          <w:sz w:val="24"/>
        </w:rPr>
      </w:pPr>
      <w:r>
        <w:rPr>
          <w:rFonts w:hint="eastAsia" w:ascii="宋体" w:hAnsi="宋体" w:cs="Arial"/>
          <w:bCs/>
          <w:sz w:val="24"/>
        </w:rPr>
        <w:t>致友和保险经纪有限公司：</w:t>
      </w:r>
    </w:p>
    <w:p>
      <w:pPr>
        <w:rPr>
          <w:rFonts w:ascii="宋体" w:hAnsi="宋体" w:cs="Arial"/>
          <w:bCs/>
          <w:sz w:val="24"/>
        </w:rPr>
      </w:pPr>
    </w:p>
    <w:p>
      <w:pPr>
        <w:ind w:firstLine="480" w:firstLineChars="200"/>
        <w:rPr>
          <w:rFonts w:ascii="宋体" w:hAnsi="宋体" w:cs="Arial"/>
          <w:bCs/>
          <w:sz w:val="24"/>
        </w:rPr>
      </w:pPr>
      <w:r>
        <w:rPr>
          <w:rFonts w:hint="eastAsia" w:ascii="宋体" w:hAnsi="宋体" w:cs="Arial"/>
          <w:bCs/>
          <w:sz w:val="24"/>
          <w:u w:val="single"/>
        </w:rPr>
        <w:t xml:space="preserve">          （投标人全称）     </w:t>
      </w:r>
      <w:r>
        <w:rPr>
          <w:rFonts w:hint="eastAsia" w:ascii="宋体" w:hAnsi="宋体" w:cs="Arial"/>
          <w:bCs/>
          <w:sz w:val="24"/>
        </w:rPr>
        <w:t xml:space="preserve"> 法定代表人</w:t>
      </w:r>
      <w:r>
        <w:rPr>
          <w:rFonts w:hint="eastAsia" w:ascii="宋体" w:hAnsi="宋体" w:cs="Arial"/>
          <w:bCs/>
          <w:sz w:val="24"/>
          <w:u w:val="single"/>
        </w:rPr>
        <w:t xml:space="preserve">  （姓名、职务）              </w:t>
      </w:r>
      <w:r>
        <w:rPr>
          <w:rFonts w:hint="eastAsia" w:ascii="宋体" w:hAnsi="宋体" w:cs="Arial"/>
          <w:bCs/>
          <w:sz w:val="24"/>
        </w:rPr>
        <w:t xml:space="preserve">授权 </w:t>
      </w:r>
      <w:r>
        <w:rPr>
          <w:rFonts w:hint="eastAsia" w:ascii="宋体" w:hAnsi="宋体" w:cs="Arial"/>
          <w:bCs/>
          <w:sz w:val="24"/>
          <w:u w:val="single"/>
        </w:rPr>
        <w:t xml:space="preserve">  （被授权代表姓名、职务）              </w:t>
      </w:r>
      <w:r>
        <w:rPr>
          <w:rFonts w:hint="eastAsia" w:ascii="宋体" w:hAnsi="宋体" w:cs="Arial"/>
          <w:bCs/>
          <w:sz w:val="24"/>
        </w:rPr>
        <w:t>为本公司合法代理人，参加贵招标代理公司组织的</w:t>
      </w:r>
      <w:r>
        <w:rPr>
          <w:rFonts w:hint="eastAsia" w:ascii="宋体" w:hAnsi="宋体" w:cs="Arial"/>
          <w:bCs/>
          <w:sz w:val="24"/>
          <w:u w:val="single"/>
        </w:rPr>
        <w:t xml:space="preserve">   (项目名称)（项目编号）                      </w:t>
      </w:r>
      <w:r>
        <w:rPr>
          <w:rFonts w:hint="eastAsia" w:ascii="宋体" w:hAnsi="宋体" w:cs="Arial"/>
          <w:bCs/>
          <w:sz w:val="24"/>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rFonts w:ascii="宋体" w:hAnsi="宋体" w:cs="Arial"/>
          <w:bCs/>
          <w:sz w:val="24"/>
        </w:rPr>
      </w:pPr>
      <w:r>
        <w:rPr>
          <w:rFonts w:hint="eastAsia" w:ascii="宋体" w:hAnsi="宋体" w:cs="Arial"/>
          <w:bCs/>
          <w:sz w:val="24"/>
        </w:rPr>
        <w:t xml:space="preserve">     本授权书于    年   月    日签字生效,特此声明。</w:t>
      </w:r>
    </w:p>
    <w:p>
      <w:pPr>
        <w:rPr>
          <w:rFonts w:ascii="宋体" w:hAnsi="宋体" w:cs="Arial"/>
          <w:bCs/>
          <w:sz w:val="24"/>
        </w:rPr>
      </w:pPr>
    </w:p>
    <w:p>
      <w:pPr>
        <w:ind w:firstLine="120" w:firstLineChars="50"/>
        <w:rPr>
          <w:rFonts w:ascii="宋体" w:hAnsi="宋体" w:cs="Arial"/>
          <w:bCs/>
          <w:sz w:val="24"/>
          <w:u w:val="single"/>
        </w:rPr>
      </w:pPr>
      <w:r>
        <w:rPr>
          <w:rFonts w:hint="eastAsia" w:ascii="宋体" w:hAnsi="宋体" w:cs="Arial"/>
          <w:bCs/>
          <w:sz w:val="24"/>
        </w:rPr>
        <w:t>被授权人：   职务：</w:t>
      </w:r>
    </w:p>
    <w:p>
      <w:pPr>
        <w:ind w:firstLine="120" w:firstLineChars="50"/>
        <w:rPr>
          <w:rFonts w:ascii="宋体" w:hAnsi="宋体" w:cs="Arial"/>
          <w:bCs/>
          <w:sz w:val="24"/>
          <w:u w:val="single"/>
        </w:rPr>
      </w:pPr>
      <w:r>
        <w:rPr>
          <w:rFonts w:hint="eastAsia" w:ascii="宋体" w:hAnsi="宋体" w:cs="Arial"/>
          <w:bCs/>
          <w:sz w:val="24"/>
        </w:rPr>
        <w:t>联系电话：   手机：</w:t>
      </w:r>
    </w:p>
    <w:p>
      <w:pPr>
        <w:ind w:firstLine="120" w:firstLineChars="50"/>
        <w:rPr>
          <w:rFonts w:ascii="宋体" w:hAnsi="宋体" w:cs="Arial"/>
          <w:bCs/>
          <w:sz w:val="24"/>
        </w:rPr>
      </w:pPr>
      <w:r>
        <w:rPr>
          <w:rFonts w:hint="eastAsia" w:ascii="宋体" w:hAnsi="宋体" w:cs="Arial"/>
          <w:bCs/>
          <w:sz w:val="24"/>
        </w:rPr>
        <w:t>身份证号码：</w:t>
      </w:r>
    </w:p>
    <w:p>
      <w:pPr>
        <w:ind w:firstLine="120" w:firstLineChars="50"/>
        <w:rPr>
          <w:rFonts w:ascii="宋体" w:hAnsi="宋体" w:cs="Arial"/>
          <w:bCs/>
          <w:sz w:val="24"/>
          <w:u w:val="single"/>
        </w:rPr>
      </w:pPr>
      <w:r>
        <w:rPr>
          <w:rFonts w:hint="eastAsia" w:ascii="宋体" w:hAnsi="宋体" w:cs="Arial"/>
          <w:bCs/>
          <w:sz w:val="24"/>
        </w:rPr>
        <w:t>投标单位（盖公章）：</w:t>
      </w:r>
    </w:p>
    <w:p>
      <w:pPr>
        <w:ind w:firstLine="120" w:firstLineChars="50"/>
        <w:rPr>
          <w:rFonts w:ascii="宋体" w:hAnsi="宋体" w:cs="Arial"/>
          <w:bCs/>
          <w:sz w:val="24"/>
          <w:u w:val="single"/>
        </w:rPr>
      </w:pPr>
      <w:r>
        <w:rPr>
          <w:rFonts w:hint="eastAsia" w:ascii="宋体" w:hAnsi="宋体" w:cs="Arial"/>
          <w:bCs/>
          <w:sz w:val="24"/>
        </w:rPr>
        <w:t>法定代表人（签名）：</w:t>
      </w:r>
    </w:p>
    <w:p>
      <w:pPr>
        <w:ind w:firstLine="120" w:firstLineChars="50"/>
        <w:rPr>
          <w:rFonts w:ascii="宋体" w:hAnsi="宋体" w:cs="Arial"/>
          <w:bCs/>
          <w:sz w:val="24"/>
          <w:u w:val="single"/>
        </w:rPr>
      </w:pPr>
      <w:r>
        <w:rPr>
          <w:rFonts w:hint="eastAsia" w:ascii="宋体" w:hAnsi="宋体" w:cs="Arial"/>
          <w:bCs/>
          <w:sz w:val="24"/>
        </w:rPr>
        <w:t>被授权人（签名）：</w:t>
      </w: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Cs w:val="21"/>
        </w:rPr>
      </w:pPr>
      <w:r>
        <w:rPr>
          <w:rFonts w:hint="eastAsia" w:ascii="宋体" w:hAnsi="宋体" w:cs="Arial"/>
          <w:bCs/>
          <w:szCs w:val="21"/>
        </w:rPr>
        <w:t>说明：</w:t>
      </w:r>
    </w:p>
    <w:p>
      <w:pPr>
        <w:ind w:firstLine="420" w:firstLineChars="200"/>
        <w:rPr>
          <w:rFonts w:ascii="宋体" w:hAnsi="宋体" w:cs="Arial"/>
          <w:bCs/>
          <w:szCs w:val="21"/>
        </w:rPr>
      </w:pPr>
      <w:r>
        <w:rPr>
          <w:rFonts w:hint="eastAsia" w:ascii="宋体" w:hAnsi="宋体" w:cs="Arial"/>
          <w:bCs/>
          <w:szCs w:val="21"/>
        </w:rPr>
        <w:t>1.本授权委托书要求投标人提供有</w:t>
      </w:r>
      <w:r>
        <w:rPr>
          <w:rFonts w:hint="eastAsia" w:ascii="宋体" w:hAnsi="宋体" w:cs="Arial"/>
          <w:b/>
          <w:bCs/>
          <w:szCs w:val="21"/>
        </w:rPr>
        <w:t>被授权人签字、法定代表人的签字（或盖私章）和加盖公章</w:t>
      </w:r>
      <w:r>
        <w:rPr>
          <w:rFonts w:hint="eastAsia" w:ascii="宋体" w:hAnsi="宋体" w:cs="Arial"/>
          <w:bCs/>
          <w:szCs w:val="21"/>
        </w:rPr>
        <w:t>后的原件方为有效；</w:t>
      </w:r>
    </w:p>
    <w:p>
      <w:pPr>
        <w:ind w:firstLine="420" w:firstLineChars="200"/>
        <w:rPr>
          <w:rFonts w:ascii="宋体" w:hAnsi="宋体" w:cs="Arial"/>
          <w:bCs/>
          <w:szCs w:val="21"/>
        </w:rPr>
      </w:pPr>
      <w:r>
        <w:rPr>
          <w:rFonts w:hint="eastAsia" w:ascii="宋体" w:hAnsi="宋体" w:cs="Arial"/>
          <w:bCs/>
          <w:szCs w:val="21"/>
        </w:rPr>
        <w:t>2.提供被授权人的身份证复印件（附后）。</w:t>
      </w:r>
    </w:p>
    <w:p>
      <w:pPr>
        <w:pStyle w:val="6"/>
        <w:spacing w:before="120" w:after="120"/>
        <w:jc w:val="center"/>
        <w:rPr>
          <w:b w:val="0"/>
        </w:rPr>
      </w:pPr>
      <w:r>
        <w:br w:type="page"/>
      </w:r>
      <w:bookmarkStart w:id="271" w:name="_Toc13723"/>
      <w:r>
        <w:rPr>
          <w:rFonts w:hint="eastAsia" w:ascii="黑体"/>
          <w:sz w:val="28"/>
          <w:szCs w:val="28"/>
        </w:rPr>
        <w:t>五、投标函</w:t>
      </w:r>
      <w:bookmarkEnd w:id="271"/>
    </w:p>
    <w:p>
      <w:pPr>
        <w:jc w:val="center"/>
        <w:rPr>
          <w:rFonts w:ascii="宋体" w:hAnsi="宋体"/>
          <w:b/>
          <w:bCs/>
          <w:sz w:val="30"/>
          <w:szCs w:val="30"/>
        </w:rPr>
      </w:pPr>
      <w:r>
        <w:rPr>
          <w:rFonts w:hint="eastAsia" w:ascii="宋体" w:hAnsi="宋体"/>
          <w:b/>
          <w:bCs/>
          <w:sz w:val="30"/>
          <w:szCs w:val="30"/>
        </w:rPr>
        <w:t>投标函</w:t>
      </w:r>
    </w:p>
    <w:p>
      <w:pPr>
        <w:rPr>
          <w:rFonts w:ascii="宋体" w:hAnsi="宋体"/>
          <w:szCs w:val="21"/>
        </w:rPr>
      </w:pPr>
    </w:p>
    <w:p>
      <w:pPr>
        <w:rPr>
          <w:rFonts w:ascii="宋体" w:hAnsi="宋体"/>
          <w:szCs w:val="21"/>
        </w:rPr>
      </w:pPr>
      <w:r>
        <w:rPr>
          <w:rFonts w:hint="eastAsia" w:ascii="宋体" w:hAnsi="宋体"/>
          <w:szCs w:val="21"/>
        </w:rPr>
        <w:t>致：友和保险经纪有限公司</w:t>
      </w:r>
    </w:p>
    <w:p>
      <w:pPr>
        <w:ind w:firstLine="420" w:firstLineChars="200"/>
        <w:rPr>
          <w:rFonts w:ascii="宋体" w:hAnsi="宋体"/>
          <w:szCs w:val="21"/>
        </w:rPr>
      </w:pPr>
      <w:r>
        <w:rPr>
          <w:rFonts w:hint="eastAsia" w:ascii="宋体" w:hAnsi="宋体"/>
          <w:szCs w:val="21"/>
        </w:rPr>
        <w:t>根据贵方发布的</w:t>
      </w:r>
      <w:r>
        <w:rPr>
          <w:rFonts w:hint="eastAsia" w:ascii="宋体" w:hAnsi="宋体"/>
          <w:szCs w:val="21"/>
          <w:u w:val="single"/>
        </w:rPr>
        <w:t xml:space="preserve">                     （项目名称）</w:t>
      </w:r>
      <w:r>
        <w:rPr>
          <w:rFonts w:hint="eastAsia" w:ascii="宋体" w:hAnsi="宋体"/>
          <w:szCs w:val="21"/>
        </w:rPr>
        <w:t>的招标公告</w:t>
      </w:r>
      <w:r>
        <w:rPr>
          <w:rFonts w:hint="eastAsia" w:ascii="宋体" w:hAnsi="宋体"/>
          <w:szCs w:val="21"/>
          <w:u w:val="single"/>
        </w:rPr>
        <w:t>（项目编号为）</w:t>
      </w:r>
      <w:r>
        <w:rPr>
          <w:rFonts w:hint="eastAsia" w:ascii="宋体" w:hAnsi="宋体"/>
          <w:szCs w:val="21"/>
        </w:rPr>
        <w:t>，本人经我方法定代表人授权正式代表投标人（投标人的名称），提交下述投标文件正本1份，副本5份。</w:t>
      </w:r>
    </w:p>
    <w:p>
      <w:pPr>
        <w:rPr>
          <w:rFonts w:ascii="宋体" w:hAnsi="宋体"/>
          <w:szCs w:val="21"/>
        </w:rPr>
      </w:pPr>
      <w:r>
        <w:rPr>
          <w:rFonts w:hint="eastAsia" w:ascii="宋体" w:hAnsi="宋体"/>
          <w:szCs w:val="21"/>
        </w:rPr>
        <w:t xml:space="preserve">    据此函，本人代表投标方保证，所提供的全部资料是真实的。本人承诺：</w:t>
      </w:r>
    </w:p>
    <w:p>
      <w:pPr>
        <w:ind w:firstLine="420" w:firstLineChars="200"/>
        <w:rPr>
          <w:rFonts w:ascii="宋体" w:hAnsi="宋体"/>
          <w:szCs w:val="21"/>
        </w:rPr>
      </w:pPr>
      <w:r>
        <w:rPr>
          <w:rFonts w:hint="eastAsia" w:ascii="宋体" w:hAnsi="宋体"/>
          <w:szCs w:val="21"/>
        </w:rPr>
        <w:t>（1）</w:t>
      </w:r>
      <w:r>
        <w:rPr>
          <w:rFonts w:hint="eastAsia"/>
          <w:szCs w:val="21"/>
        </w:rPr>
        <w:t>我方愿以开标一览表中的投标报价并按招标文件要求承包上述项目并修补其任何缺陷</w:t>
      </w:r>
      <w:r>
        <w:rPr>
          <w:rFonts w:hint="eastAsia" w:ascii="宋体" w:hAnsi="宋体"/>
          <w:szCs w:val="21"/>
        </w:rPr>
        <w:t>；</w:t>
      </w:r>
    </w:p>
    <w:p>
      <w:pPr>
        <w:rPr>
          <w:rFonts w:ascii="宋体" w:hAnsi="宋体"/>
          <w:szCs w:val="21"/>
        </w:rPr>
      </w:pPr>
      <w:r>
        <w:rPr>
          <w:rFonts w:hint="eastAsia" w:ascii="宋体" w:hAnsi="宋体"/>
          <w:szCs w:val="21"/>
        </w:rPr>
        <w:t xml:space="preserve">   （2）我们承担根据招标文件的规定，完成合同的责任和义务。</w:t>
      </w:r>
    </w:p>
    <w:p>
      <w:pPr>
        <w:rPr>
          <w:rFonts w:ascii="宋体" w:hAnsi="宋体"/>
          <w:szCs w:val="21"/>
        </w:rPr>
      </w:pPr>
      <w:r>
        <w:rPr>
          <w:rFonts w:hint="eastAsia" w:ascii="宋体" w:hAnsi="宋体"/>
          <w:szCs w:val="21"/>
        </w:rPr>
        <w:t xml:space="preserve">   （3）我们已详细审核了全部招标文件，包括招标文件修改书（如果有的话），参考资料及有关附件，我们完全理解并同意放弃对这方面有不清楚或误解的问题的权利。</w:t>
      </w:r>
    </w:p>
    <w:p>
      <w:pPr>
        <w:rPr>
          <w:rFonts w:ascii="宋体" w:hAnsi="宋体"/>
          <w:szCs w:val="21"/>
        </w:rPr>
      </w:pPr>
      <w:r>
        <w:rPr>
          <w:rFonts w:hint="eastAsia" w:ascii="宋体" w:hAnsi="宋体"/>
          <w:szCs w:val="21"/>
        </w:rPr>
        <w:t xml:space="preserve">   （4）我们同意在第一册第20条规定的开标日期起遵循本投标文件，并在第一册第15条规定的投标有效期满之前均具有约束力，并有可能中标。</w:t>
      </w:r>
    </w:p>
    <w:p>
      <w:pPr>
        <w:rPr>
          <w:rFonts w:ascii="宋体" w:hAnsi="宋体"/>
          <w:szCs w:val="21"/>
        </w:rPr>
      </w:pPr>
      <w:r>
        <w:rPr>
          <w:rFonts w:hint="eastAsia" w:ascii="宋体" w:hAnsi="宋体"/>
          <w:szCs w:val="21"/>
        </w:rPr>
        <w:t xml:space="preserve">   （5）如果在开标后规定的投标有效期内撤回投标或在中标后放弃中标，我们愿意予以赔偿。</w:t>
      </w:r>
    </w:p>
    <w:p>
      <w:pPr>
        <w:rPr>
          <w:rFonts w:ascii="宋体" w:hAnsi="宋体"/>
          <w:szCs w:val="21"/>
        </w:rPr>
      </w:pPr>
      <w:r>
        <w:rPr>
          <w:rFonts w:hint="eastAsia" w:ascii="宋体" w:hAnsi="宋体"/>
          <w:szCs w:val="21"/>
        </w:rPr>
        <w:t xml:space="preserve">   （6）同意向贵方提供贵方可能要求的与本投标有关的任何证据或资料。</w:t>
      </w:r>
    </w:p>
    <w:p>
      <w:pPr>
        <w:ind w:firstLine="315" w:firstLineChars="150"/>
        <w:rPr>
          <w:rFonts w:ascii="宋体" w:hAnsi="宋体"/>
          <w:szCs w:val="21"/>
        </w:rPr>
      </w:pPr>
      <w:r>
        <w:rPr>
          <w:rFonts w:hint="eastAsia" w:ascii="宋体" w:hAnsi="宋体"/>
          <w:szCs w:val="21"/>
        </w:rPr>
        <w:t>（7）我们完全理解贵方不一定要接受最低报价的投标或收到的任何投标。</w:t>
      </w:r>
    </w:p>
    <w:p>
      <w:pPr>
        <w:ind w:right="-239" w:rightChars="-114"/>
        <w:rPr>
          <w:rFonts w:ascii="宋体" w:hAnsi="宋体"/>
          <w:szCs w:val="21"/>
        </w:rPr>
      </w:pPr>
      <w:r>
        <w:rPr>
          <w:rFonts w:hint="eastAsia" w:ascii="宋体" w:hAnsi="宋体"/>
          <w:szCs w:val="21"/>
        </w:rPr>
        <w:t xml:space="preserve">   （8）我方为本投标和中标后的合同实施要付给招标代理机构的招标代理服务费如下：</w:t>
      </w:r>
    </w:p>
    <w:p>
      <w:pPr>
        <w:ind w:firstLine="420" w:firstLineChars="200"/>
        <w:rPr>
          <w:rFonts w:ascii="宋体" w:hAnsi="宋体"/>
          <w:szCs w:val="21"/>
        </w:rPr>
      </w:pPr>
      <w:r>
        <w:rPr>
          <w:rFonts w:hint="eastAsia" w:ascii="宋体" w:hAnsi="宋体"/>
          <w:szCs w:val="21"/>
        </w:rPr>
        <w:t>招标代理机构的名称：友和保险经纪有限公司</w:t>
      </w:r>
    </w:p>
    <w:p>
      <w:pPr>
        <w:ind w:firstLine="420" w:firstLineChars="200"/>
        <w:rPr>
          <w:rFonts w:ascii="宋体" w:hAnsi="宋体"/>
          <w:szCs w:val="21"/>
        </w:rPr>
      </w:pPr>
      <w:r>
        <w:rPr>
          <w:rFonts w:hint="eastAsia" w:ascii="宋体" w:hAnsi="宋体"/>
          <w:szCs w:val="21"/>
        </w:rPr>
        <w:t>招标代理服务费：按第一册第40条“招标代理服务费”标准支付。</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与本投标有关的正式通信方式：</w:t>
      </w:r>
    </w:p>
    <w:p>
      <w:pPr>
        <w:ind w:firstLine="420" w:firstLineChars="200"/>
        <w:rPr>
          <w:rFonts w:ascii="宋体" w:hAnsi="宋体"/>
          <w:szCs w:val="21"/>
          <w:u w:val="single"/>
        </w:rPr>
      </w:pPr>
      <w:r>
        <w:rPr>
          <w:rFonts w:hint="eastAsia" w:ascii="宋体" w:hAnsi="宋体"/>
          <w:szCs w:val="21"/>
        </w:rPr>
        <w:t>地址： 邮政编码：</w:t>
      </w:r>
    </w:p>
    <w:p>
      <w:pPr>
        <w:ind w:firstLine="420" w:firstLineChars="200"/>
        <w:rPr>
          <w:rFonts w:ascii="宋体" w:hAnsi="宋体"/>
          <w:szCs w:val="21"/>
          <w:u w:val="single"/>
        </w:rPr>
      </w:pPr>
      <w:r>
        <w:rPr>
          <w:rFonts w:hint="eastAsia" w:ascii="宋体" w:hAnsi="宋体"/>
          <w:szCs w:val="21"/>
        </w:rPr>
        <w:t>电话、手机、传真或电传：</w:t>
      </w:r>
    </w:p>
    <w:p>
      <w:pPr>
        <w:ind w:firstLine="5075" w:firstLineChars="2417"/>
        <w:rPr>
          <w:rFonts w:ascii="宋体" w:hAnsi="宋体"/>
          <w:szCs w:val="21"/>
        </w:rPr>
      </w:pPr>
    </w:p>
    <w:p>
      <w:pPr>
        <w:ind w:firstLine="5075" w:firstLineChars="2417"/>
        <w:rPr>
          <w:rFonts w:ascii="宋体" w:hAnsi="宋体"/>
          <w:szCs w:val="21"/>
        </w:rPr>
      </w:pPr>
    </w:p>
    <w:p>
      <w:pPr>
        <w:ind w:firstLine="5075" w:firstLineChars="2417"/>
        <w:rPr>
          <w:rFonts w:ascii="宋体" w:hAnsi="宋体"/>
          <w:szCs w:val="21"/>
        </w:rPr>
      </w:pPr>
    </w:p>
    <w:p>
      <w:pPr>
        <w:ind w:firstLine="3150" w:firstLineChars="1500"/>
        <w:jc w:val="left"/>
        <w:rPr>
          <w:szCs w:val="21"/>
        </w:rPr>
      </w:pPr>
      <w:r>
        <w:rPr>
          <w:rFonts w:hint="eastAsia"/>
          <w:szCs w:val="21"/>
        </w:rPr>
        <w:t>法定代表人或其授权委托人（</w:t>
      </w:r>
      <w:r>
        <w:rPr>
          <w:rFonts w:hint="eastAsia"/>
          <w:b/>
          <w:szCs w:val="21"/>
        </w:rPr>
        <w:t>签名</w:t>
      </w:r>
      <w:r>
        <w:rPr>
          <w:rFonts w:hint="eastAsia"/>
          <w:szCs w:val="21"/>
        </w:rPr>
        <w:t>）：</w:t>
      </w:r>
    </w:p>
    <w:p>
      <w:pPr>
        <w:jc w:val="left"/>
        <w:rPr>
          <w:szCs w:val="21"/>
        </w:rPr>
      </w:pPr>
    </w:p>
    <w:p>
      <w:pPr>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jc w:val="left"/>
        <w:rPr>
          <w:szCs w:val="21"/>
        </w:rPr>
      </w:pPr>
    </w:p>
    <w:p>
      <w:pPr>
        <w:jc w:val="right"/>
        <w:rPr>
          <w:szCs w:val="21"/>
        </w:rPr>
      </w:pPr>
      <w:r>
        <w:rPr>
          <w:rFonts w:hint="eastAsia"/>
          <w:szCs w:val="21"/>
        </w:rPr>
        <w:t>日期：   年   月   日</w:t>
      </w:r>
    </w:p>
    <w:p>
      <w:pPr>
        <w:rPr>
          <w:rFonts w:ascii="宋体" w:hAnsi="宋体"/>
          <w:szCs w:val="21"/>
        </w:rPr>
      </w:pP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pStyle w:val="6"/>
        <w:spacing w:before="120" w:after="120"/>
        <w:jc w:val="center"/>
        <w:rPr>
          <w:rFonts w:ascii="黑体"/>
          <w:sz w:val="28"/>
          <w:szCs w:val="28"/>
        </w:rPr>
      </w:pPr>
      <w:bookmarkStart w:id="272" w:name="_Toc29050"/>
      <w:r>
        <w:rPr>
          <w:rFonts w:hint="eastAsia" w:ascii="黑体"/>
          <w:sz w:val="28"/>
          <w:szCs w:val="28"/>
        </w:rPr>
        <w:t>六、开标一览表</w:t>
      </w:r>
      <w:bookmarkEnd w:id="272"/>
    </w:p>
    <w:p>
      <w:pPr>
        <w:jc w:val="right"/>
        <w:rPr>
          <w:rFonts w:ascii="宋体" w:hAnsi="宋体"/>
          <w:bCs/>
          <w:snapToGrid w:val="0"/>
          <w:kern w:val="0"/>
        </w:rPr>
      </w:pPr>
      <w:r>
        <w:rPr>
          <w:rFonts w:hint="eastAsia" w:ascii="宋体" w:hAnsi="宋体"/>
          <w:bCs/>
          <w:snapToGrid w:val="0"/>
          <w:kern w:val="0"/>
        </w:rPr>
        <w:t>单位：人民币元</w:t>
      </w:r>
    </w:p>
    <w:tbl>
      <w:tblPr>
        <w:tblStyle w:val="43"/>
        <w:tblW w:w="851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2522"/>
        <w:gridCol w:w="3007"/>
        <w:gridCol w:w="133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1654"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项目编号</w:t>
            </w:r>
          </w:p>
        </w:tc>
        <w:tc>
          <w:tcPr>
            <w:tcW w:w="2522"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项目名称</w:t>
            </w:r>
          </w:p>
        </w:tc>
        <w:tc>
          <w:tcPr>
            <w:tcW w:w="3007"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投标总价</w:t>
            </w:r>
          </w:p>
        </w:tc>
        <w:tc>
          <w:tcPr>
            <w:tcW w:w="1336"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1654" w:type="dxa"/>
            <w:tcBorders>
              <w:top w:val="single" w:color="auto" w:sz="4" w:space="0"/>
            </w:tcBorders>
            <w:vAlign w:val="center"/>
          </w:tcPr>
          <w:p>
            <w:pPr>
              <w:jc w:val="center"/>
              <w:rPr>
                <w:rFonts w:ascii="宋体" w:hAnsi="宋体"/>
                <w:snapToGrid w:val="0"/>
                <w:kern w:val="0"/>
                <w:u w:val="single"/>
              </w:rPr>
            </w:pPr>
          </w:p>
        </w:tc>
        <w:tc>
          <w:tcPr>
            <w:tcW w:w="2522" w:type="dxa"/>
            <w:tcBorders>
              <w:top w:val="single" w:color="auto" w:sz="4" w:space="0"/>
            </w:tcBorders>
            <w:vAlign w:val="center"/>
          </w:tcPr>
          <w:p>
            <w:pPr>
              <w:rPr>
                <w:rFonts w:ascii="宋体" w:hAnsi="宋体"/>
                <w:snapToGrid w:val="0"/>
                <w:kern w:val="0"/>
                <w:u w:val="single"/>
              </w:rPr>
            </w:pPr>
          </w:p>
        </w:tc>
        <w:tc>
          <w:tcPr>
            <w:tcW w:w="3007" w:type="dxa"/>
            <w:tcBorders>
              <w:top w:val="single" w:color="auto" w:sz="4" w:space="0"/>
            </w:tcBorders>
            <w:vAlign w:val="center"/>
          </w:tcPr>
          <w:p>
            <w:pPr>
              <w:rPr>
                <w:rFonts w:ascii="宋体" w:hAnsi="宋体"/>
                <w:snapToGrid w:val="0"/>
                <w:kern w:val="0"/>
              </w:rPr>
            </w:pPr>
            <w:r>
              <w:rPr>
                <w:rFonts w:hint="eastAsia" w:ascii="宋体" w:hAnsi="宋体"/>
                <w:snapToGrid w:val="0"/>
                <w:kern w:val="0"/>
              </w:rPr>
              <w:t>大写：</w:t>
            </w:r>
          </w:p>
          <w:p>
            <w:pPr>
              <w:rPr>
                <w:rFonts w:ascii="宋体" w:hAnsi="宋体"/>
                <w:snapToGrid w:val="0"/>
                <w:kern w:val="0"/>
              </w:rPr>
            </w:pPr>
            <w:r>
              <w:rPr>
                <w:rFonts w:hint="eastAsia" w:ascii="宋体" w:hAnsi="宋体"/>
                <w:snapToGrid w:val="0"/>
                <w:kern w:val="0"/>
              </w:rPr>
              <w:t>小写：</w:t>
            </w:r>
          </w:p>
        </w:tc>
        <w:tc>
          <w:tcPr>
            <w:tcW w:w="1336" w:type="dxa"/>
            <w:tcBorders>
              <w:top w:val="single" w:color="auto" w:sz="4" w:space="0"/>
            </w:tcBorders>
            <w:vAlign w:val="center"/>
          </w:tcPr>
          <w:p>
            <w:pPr>
              <w:jc w:val="center"/>
              <w:rPr>
                <w:rFonts w:ascii="宋体" w:hAnsi="宋体"/>
                <w:snapToGrid w:val="0"/>
                <w:kern w:val="0"/>
              </w:rPr>
            </w:pPr>
          </w:p>
        </w:tc>
      </w:tr>
    </w:tbl>
    <w:p>
      <w:pPr>
        <w:rPr>
          <w:rFonts w:ascii="宋体" w:hAnsi="宋体"/>
          <w:snapToGrid w:val="0"/>
          <w:kern w:val="0"/>
        </w:rPr>
      </w:pPr>
      <w:r>
        <w:rPr>
          <w:rFonts w:hint="eastAsia" w:ascii="宋体" w:hAnsi="宋体"/>
          <w:snapToGrid w:val="0"/>
          <w:kern w:val="0"/>
        </w:rPr>
        <w:t>注：1、价格应按“招标文件”中规定的货币单位填写。</w:t>
      </w:r>
    </w:p>
    <w:p>
      <w:pPr>
        <w:rPr>
          <w:rFonts w:ascii="宋体" w:hAnsi="宋体"/>
        </w:rPr>
      </w:pPr>
      <w:r>
        <w:rPr>
          <w:rFonts w:hint="eastAsia" w:ascii="宋体" w:hAnsi="宋体"/>
          <w:snapToGrid w:val="0"/>
          <w:kern w:val="0"/>
        </w:rPr>
        <w:t xml:space="preserve">    2、投标人如果需要对报价或其它内容加以说明，可在备注栏填写。</w:t>
      </w:r>
    </w:p>
    <w:p>
      <w:pPr>
        <w:ind w:firstLine="420"/>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开标一览表》作为开标时唱标的依据，除按格式要求放入投标文件中外，还应另行单独密封提交一份，在封口密封处加盖公章（或密封封口处粘贴封条并加盖投标单位公章），并在信封上标明“开标一览表”字样。</w:t>
      </w:r>
    </w:p>
    <w:p>
      <w:pPr>
        <w:ind w:firstLine="420"/>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4、《开标一览表》未按招标文件规定签字、盖章、密封的，将导致废标。</w:t>
      </w:r>
    </w:p>
    <w:p>
      <w:pPr>
        <w:snapToGrid w:val="0"/>
        <w:ind w:firstLine="411" w:firstLineChars="196"/>
        <w:rPr>
          <w:rFonts w:ascii="宋体" w:hAnsi="宋体"/>
          <w:szCs w:val="21"/>
        </w:rPr>
      </w:pPr>
      <w:r>
        <w:rPr>
          <w:rFonts w:hint="eastAsia" w:ascii="宋体" w:hAnsi="宋体"/>
        </w:rPr>
        <w:t>5、</w:t>
      </w:r>
      <w:r>
        <w:rPr>
          <w:rFonts w:hint="eastAsia" w:ascii="宋体" w:hAnsi="宋体"/>
          <w:szCs w:val="21"/>
        </w:rPr>
        <w:t>若开标一览表中大写金额和小写金额不一致的，以大写金额为准。</w:t>
      </w:r>
    </w:p>
    <w:p>
      <w:pPr>
        <w:ind w:firstLine="420"/>
        <w:rPr>
          <w:rFonts w:ascii="宋体" w:hAnsi="宋体"/>
        </w:rPr>
      </w:pPr>
    </w:p>
    <w:p>
      <w:pPr>
        <w:ind w:firstLine="420"/>
        <w:jc w:val="left"/>
        <w:rPr>
          <w:rFonts w:ascii="宋体" w:hAnsi="宋体"/>
        </w:rPr>
      </w:pPr>
    </w:p>
    <w:p>
      <w:pPr>
        <w:ind w:firstLine="420"/>
        <w:jc w:val="left"/>
        <w:rPr>
          <w:rFonts w:ascii="宋体" w:hAnsi="宋体"/>
        </w:rPr>
      </w:pPr>
    </w:p>
    <w:p>
      <w:pPr>
        <w:ind w:firstLine="3150" w:firstLineChars="1500"/>
        <w:jc w:val="left"/>
        <w:rPr>
          <w:rFonts w:ascii="宋体" w:hAnsi="宋体"/>
        </w:rPr>
      </w:pPr>
      <w:r>
        <w:rPr>
          <w:rFonts w:hint="eastAsia" w:ascii="宋体" w:hAnsi="宋体"/>
        </w:rPr>
        <w:t>法定代表人或其授权委托人（</w:t>
      </w:r>
      <w:r>
        <w:rPr>
          <w:rFonts w:hint="eastAsia" w:ascii="宋体" w:hAnsi="宋体"/>
          <w:b/>
        </w:rPr>
        <w:t>签名</w:t>
      </w:r>
      <w:r>
        <w:rPr>
          <w:rFonts w:hint="eastAsia" w:ascii="宋体" w:hAnsi="宋体"/>
        </w:rPr>
        <w:t>）：</w:t>
      </w:r>
    </w:p>
    <w:p>
      <w:pPr>
        <w:jc w:val="left"/>
        <w:rPr>
          <w:rFonts w:ascii="宋体" w:hAnsi="宋体"/>
        </w:rPr>
      </w:pPr>
    </w:p>
    <w:p>
      <w:pPr>
        <w:ind w:firstLine="3150" w:firstLineChars="1500"/>
        <w:jc w:val="left"/>
        <w:rPr>
          <w:rFonts w:ascii="宋体" w:hAnsi="宋体"/>
        </w:rPr>
      </w:pPr>
      <w:r>
        <w:rPr>
          <w:rFonts w:hint="eastAsia" w:ascii="宋体" w:hAnsi="宋体"/>
        </w:rPr>
        <w:t>投标单位（</w:t>
      </w:r>
      <w:r>
        <w:rPr>
          <w:rFonts w:hint="eastAsia" w:ascii="宋体" w:hAnsi="宋体"/>
          <w:b/>
        </w:rPr>
        <w:t>盖公章</w:t>
      </w:r>
      <w:r>
        <w:rPr>
          <w:rFonts w:hint="eastAsia" w:ascii="宋体" w:hAnsi="宋体"/>
        </w:rPr>
        <w:t>）：</w:t>
      </w:r>
    </w:p>
    <w:p>
      <w:pPr>
        <w:jc w:val="left"/>
        <w:rPr>
          <w:rFonts w:ascii="宋体" w:hAnsi="宋体"/>
        </w:rPr>
      </w:pPr>
    </w:p>
    <w:p>
      <w:pPr>
        <w:jc w:val="right"/>
        <w:rPr>
          <w:rFonts w:ascii="宋体" w:hAnsi="宋体"/>
        </w:rPr>
      </w:pPr>
      <w:r>
        <w:rPr>
          <w:rFonts w:hint="eastAsia" w:ascii="宋体" w:hAnsi="宋体"/>
        </w:rPr>
        <w:t>日期：    年  月  日</w:t>
      </w:r>
    </w:p>
    <w:p>
      <w:pPr>
        <w:pStyle w:val="6"/>
        <w:spacing w:before="120" w:after="120"/>
        <w:jc w:val="center"/>
        <w:rPr>
          <w:rFonts w:ascii="黑体"/>
          <w:sz w:val="28"/>
          <w:szCs w:val="28"/>
        </w:rPr>
      </w:pPr>
      <w:r>
        <w:rPr>
          <w:rFonts w:ascii="宋体" w:hAnsi="宋体"/>
          <w:sz w:val="24"/>
        </w:rPr>
        <w:br w:type="page"/>
      </w:r>
    </w:p>
    <w:p>
      <w:pPr>
        <w:pStyle w:val="6"/>
        <w:spacing w:before="120" w:after="120"/>
        <w:jc w:val="center"/>
        <w:rPr>
          <w:rFonts w:ascii="黑体"/>
          <w:sz w:val="28"/>
          <w:szCs w:val="28"/>
        </w:rPr>
      </w:pPr>
      <w:bookmarkStart w:id="273" w:name="_Toc7876"/>
      <w:r>
        <w:rPr>
          <w:rFonts w:hint="eastAsia" w:ascii="黑体"/>
          <w:sz w:val="28"/>
          <w:szCs w:val="28"/>
        </w:rPr>
        <w:t>七、分项报价清单表</w:t>
      </w:r>
      <w:bookmarkEnd w:id="273"/>
    </w:p>
    <w:p>
      <w:pPr>
        <w:spacing w:line="360" w:lineRule="auto"/>
        <w:rPr>
          <w:rFonts w:ascii="宋体" w:cs="Arial"/>
          <w:bCs/>
          <w:szCs w:val="21"/>
        </w:rPr>
      </w:pPr>
      <w:r>
        <w:rPr>
          <w:rFonts w:hint="eastAsia" w:ascii="宋体" w:hAnsi="宋体" w:cs="Arial"/>
          <w:bCs/>
          <w:szCs w:val="21"/>
        </w:rPr>
        <w:t>项目名称：</w:t>
      </w:r>
    </w:p>
    <w:tbl>
      <w:tblPr>
        <w:tblStyle w:val="4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53"/>
        <w:gridCol w:w="1971"/>
        <w:gridCol w:w="1971"/>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line="360" w:lineRule="auto"/>
              <w:jc w:val="center"/>
              <w:rPr>
                <w:rFonts w:ascii="宋体" w:cs="Arial"/>
                <w:bCs/>
                <w:sz w:val="24"/>
              </w:rPr>
            </w:pPr>
            <w:r>
              <w:rPr>
                <w:rFonts w:hint="eastAsia" w:ascii="宋体" w:hAnsi="宋体" w:cs="Arial"/>
                <w:bCs/>
                <w:sz w:val="24"/>
              </w:rPr>
              <w:t>序号</w:t>
            </w:r>
          </w:p>
        </w:tc>
        <w:tc>
          <w:tcPr>
            <w:tcW w:w="2753" w:type="dxa"/>
          </w:tcPr>
          <w:p>
            <w:pPr>
              <w:spacing w:line="360" w:lineRule="auto"/>
              <w:jc w:val="center"/>
              <w:rPr>
                <w:rFonts w:ascii="宋体" w:cs="Arial"/>
                <w:bCs/>
                <w:sz w:val="24"/>
              </w:rPr>
            </w:pPr>
            <w:r>
              <w:rPr>
                <w:rFonts w:hint="eastAsia" w:ascii="宋体" w:hAnsi="宋体" w:cs="Arial"/>
                <w:bCs/>
                <w:sz w:val="24"/>
              </w:rPr>
              <w:t>项目内容</w:t>
            </w:r>
          </w:p>
        </w:tc>
        <w:tc>
          <w:tcPr>
            <w:tcW w:w="1971" w:type="dxa"/>
          </w:tcPr>
          <w:p>
            <w:pPr>
              <w:spacing w:line="360" w:lineRule="auto"/>
              <w:jc w:val="center"/>
              <w:rPr>
                <w:rFonts w:ascii="宋体" w:cs="Arial"/>
                <w:bCs/>
                <w:sz w:val="24"/>
              </w:rPr>
            </w:pPr>
            <w:r>
              <w:rPr>
                <w:rFonts w:hint="eastAsia" w:ascii="宋体" w:hAnsi="宋体" w:cs="Arial"/>
                <w:bCs/>
                <w:sz w:val="24"/>
              </w:rPr>
              <w:t>单价（元）</w:t>
            </w:r>
          </w:p>
        </w:tc>
        <w:tc>
          <w:tcPr>
            <w:tcW w:w="1971" w:type="dxa"/>
          </w:tcPr>
          <w:p>
            <w:pPr>
              <w:spacing w:line="360" w:lineRule="auto"/>
              <w:jc w:val="center"/>
              <w:rPr>
                <w:rFonts w:ascii="宋体" w:cs="Arial"/>
                <w:bCs/>
                <w:sz w:val="24"/>
              </w:rPr>
            </w:pPr>
            <w:r>
              <w:rPr>
                <w:rFonts w:hint="eastAsia" w:ascii="宋体" w:hAnsi="宋体" w:cs="Arial"/>
                <w:bCs/>
                <w:sz w:val="24"/>
              </w:rPr>
              <w:t>总价（元）</w:t>
            </w:r>
          </w:p>
        </w:tc>
        <w:tc>
          <w:tcPr>
            <w:tcW w:w="1439" w:type="dxa"/>
          </w:tcPr>
          <w:p>
            <w:pPr>
              <w:spacing w:line="360" w:lineRule="auto"/>
              <w:jc w:val="center"/>
              <w:rPr>
                <w:rFonts w:ascii="宋体" w:cs="Arial"/>
                <w:bCs/>
                <w:sz w:val="24"/>
              </w:rPr>
            </w:pPr>
            <w:r>
              <w:rPr>
                <w:rFonts w:hint="eastAsia" w:ascii="宋体" w:hAnsi="宋体" w:cs="Arial"/>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line="360" w:lineRule="auto"/>
              <w:jc w:val="center"/>
              <w:rPr>
                <w:rFonts w:ascii="宋体" w:cs="Arial"/>
                <w:bCs/>
                <w:sz w:val="24"/>
              </w:rPr>
            </w:pPr>
            <w:r>
              <w:rPr>
                <w:rFonts w:ascii="宋体" w:hAnsi="宋体" w:cs="Arial"/>
                <w:bCs/>
                <w:sz w:val="24"/>
              </w:rPr>
              <w:t>1</w:t>
            </w:r>
          </w:p>
        </w:tc>
        <w:tc>
          <w:tcPr>
            <w:tcW w:w="2753"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439" w:type="dxa"/>
          </w:tcPr>
          <w:p>
            <w:pPr>
              <w:spacing w:line="360" w:lineRule="auto"/>
              <w:jc w:val="center"/>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line="360" w:lineRule="auto"/>
              <w:jc w:val="center"/>
              <w:rPr>
                <w:rFonts w:ascii="宋体" w:cs="Arial"/>
                <w:bCs/>
                <w:sz w:val="24"/>
              </w:rPr>
            </w:pPr>
            <w:r>
              <w:rPr>
                <w:rFonts w:ascii="宋体" w:hAnsi="宋体" w:cs="Arial"/>
                <w:bCs/>
                <w:sz w:val="24"/>
              </w:rPr>
              <w:t>2</w:t>
            </w:r>
          </w:p>
        </w:tc>
        <w:tc>
          <w:tcPr>
            <w:tcW w:w="2753"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439" w:type="dxa"/>
          </w:tcPr>
          <w:p>
            <w:pPr>
              <w:spacing w:line="360" w:lineRule="auto"/>
              <w:jc w:val="center"/>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line="360" w:lineRule="auto"/>
              <w:jc w:val="center"/>
              <w:rPr>
                <w:rFonts w:ascii="宋体" w:cs="Arial"/>
                <w:bCs/>
                <w:sz w:val="24"/>
              </w:rPr>
            </w:pPr>
            <w:r>
              <w:rPr>
                <w:rFonts w:hint="eastAsia" w:ascii="宋体" w:hAnsi="宋体" w:cs="Arial"/>
                <w:bCs/>
                <w:sz w:val="24"/>
              </w:rPr>
              <w:t>…</w:t>
            </w:r>
          </w:p>
        </w:tc>
        <w:tc>
          <w:tcPr>
            <w:tcW w:w="2753"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439" w:type="dxa"/>
          </w:tcPr>
          <w:p>
            <w:pPr>
              <w:spacing w:line="360" w:lineRule="auto"/>
              <w:jc w:val="center"/>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line="360" w:lineRule="auto"/>
              <w:jc w:val="center"/>
              <w:rPr>
                <w:rFonts w:ascii="宋体" w:cs="Arial"/>
                <w:bCs/>
                <w:sz w:val="24"/>
              </w:rPr>
            </w:pPr>
            <w:r>
              <w:rPr>
                <w:rFonts w:hint="eastAsia" w:ascii="宋体" w:hAnsi="宋体" w:cs="Arial"/>
                <w:bCs/>
                <w:sz w:val="24"/>
              </w:rPr>
              <w:t>…</w:t>
            </w:r>
          </w:p>
        </w:tc>
        <w:tc>
          <w:tcPr>
            <w:tcW w:w="2753"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439" w:type="dxa"/>
          </w:tcPr>
          <w:p>
            <w:pPr>
              <w:spacing w:line="360" w:lineRule="auto"/>
              <w:jc w:val="center"/>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2" w:type="dxa"/>
            <w:gridSpan w:val="3"/>
          </w:tcPr>
          <w:p>
            <w:pPr>
              <w:spacing w:line="360" w:lineRule="auto"/>
              <w:rPr>
                <w:rFonts w:ascii="宋体" w:cs="Arial"/>
                <w:bCs/>
                <w:sz w:val="24"/>
              </w:rPr>
            </w:pPr>
            <w:r>
              <w:rPr>
                <w:rFonts w:hint="eastAsia" w:ascii="宋体" w:hAnsi="宋体" w:cs="Arial"/>
                <w:bCs/>
                <w:sz w:val="24"/>
              </w:rPr>
              <w:t>投标总价（元）</w:t>
            </w:r>
            <w:r>
              <w:rPr>
                <w:rFonts w:ascii="宋体" w:cs="Arial"/>
                <w:bCs/>
                <w:sz w:val="24"/>
              </w:rPr>
              <w:tab/>
            </w:r>
          </w:p>
        </w:tc>
        <w:tc>
          <w:tcPr>
            <w:tcW w:w="1971" w:type="dxa"/>
          </w:tcPr>
          <w:p>
            <w:pPr>
              <w:spacing w:line="360" w:lineRule="auto"/>
              <w:rPr>
                <w:rFonts w:ascii="宋体" w:cs="Arial"/>
                <w:bCs/>
                <w:sz w:val="24"/>
              </w:rPr>
            </w:pPr>
          </w:p>
        </w:tc>
        <w:tc>
          <w:tcPr>
            <w:tcW w:w="1439" w:type="dxa"/>
          </w:tcPr>
          <w:p>
            <w:pPr>
              <w:spacing w:line="360" w:lineRule="auto"/>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1" w:type="dxa"/>
            <w:gridSpan w:val="2"/>
          </w:tcPr>
          <w:p>
            <w:pPr>
              <w:spacing w:line="360" w:lineRule="auto"/>
              <w:rPr>
                <w:rFonts w:ascii="宋体" w:cs="Arial"/>
                <w:bCs/>
                <w:sz w:val="24"/>
              </w:rPr>
            </w:pPr>
            <w:r>
              <w:rPr>
                <w:rFonts w:hint="eastAsia" w:ascii="宋体" w:hAnsi="宋体" w:cs="Arial"/>
                <w:bCs/>
                <w:sz w:val="24"/>
              </w:rPr>
              <w:t>供应商名称：</w:t>
            </w:r>
          </w:p>
        </w:tc>
        <w:tc>
          <w:tcPr>
            <w:tcW w:w="5381" w:type="dxa"/>
            <w:gridSpan w:val="3"/>
          </w:tcPr>
          <w:p>
            <w:pPr>
              <w:spacing w:line="360" w:lineRule="auto"/>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1" w:type="dxa"/>
            <w:gridSpan w:val="2"/>
          </w:tcPr>
          <w:p>
            <w:pPr>
              <w:spacing w:line="360" w:lineRule="auto"/>
              <w:rPr>
                <w:rFonts w:ascii="宋体" w:cs="Arial"/>
                <w:bCs/>
                <w:sz w:val="24"/>
              </w:rPr>
            </w:pPr>
            <w:r>
              <w:rPr>
                <w:rFonts w:hint="eastAsia" w:ascii="宋体" w:hAnsi="宋体" w:cs="Arial"/>
                <w:bCs/>
                <w:sz w:val="24"/>
              </w:rPr>
              <w:t>供应商代表姓名：</w:t>
            </w:r>
          </w:p>
        </w:tc>
        <w:tc>
          <w:tcPr>
            <w:tcW w:w="5381" w:type="dxa"/>
            <w:gridSpan w:val="3"/>
          </w:tcPr>
          <w:p>
            <w:pPr>
              <w:spacing w:line="360" w:lineRule="auto"/>
              <w:rPr>
                <w:rFonts w:ascii="宋体" w:cs="Arial"/>
                <w:bCs/>
                <w:sz w:val="24"/>
              </w:rPr>
            </w:pPr>
          </w:p>
        </w:tc>
      </w:tr>
    </w:tbl>
    <w:p>
      <w:pPr>
        <w:ind w:firstLine="3150" w:firstLineChars="1500"/>
        <w:jc w:val="left"/>
        <w:rPr>
          <w:rFonts w:ascii="宋体" w:hAnsi="宋体"/>
          <w:szCs w:val="21"/>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ind w:firstLine="3600" w:firstLineChars="1500"/>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ind w:firstLine="3600" w:firstLineChars="1500"/>
        <w:jc w:val="left"/>
        <w:rPr>
          <w:rFonts w:ascii="宋体" w:hAnsi="宋体"/>
          <w:sz w:val="24"/>
        </w:rPr>
      </w:pPr>
    </w:p>
    <w:p>
      <w:pPr>
        <w:jc w:val="left"/>
        <w:rPr>
          <w:rFonts w:ascii="宋体" w:hAnsi="宋体"/>
          <w:sz w:val="24"/>
        </w:rPr>
      </w:pPr>
    </w:p>
    <w:p>
      <w:pPr>
        <w:jc w:val="right"/>
        <w:rPr>
          <w:rFonts w:ascii="宋体" w:hAnsi="宋体"/>
          <w:sz w:val="24"/>
        </w:rPr>
      </w:pPr>
      <w:r>
        <w:rPr>
          <w:rFonts w:hint="eastAsia" w:ascii="宋体" w:hAnsi="宋体"/>
          <w:sz w:val="24"/>
        </w:rPr>
        <w:t>日期：   年  月  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、所有价格应按“招标文件”中规定的货币单位填写；</w:t>
      </w:r>
    </w:p>
    <w:p>
      <w:pPr>
        <w:rPr>
          <w:rFonts w:ascii="宋体" w:hAnsi="宋体"/>
          <w:szCs w:val="21"/>
        </w:rPr>
      </w:pPr>
      <w:r>
        <w:rPr>
          <w:rFonts w:ascii="宋体" w:hAnsi="宋体"/>
          <w:szCs w:val="21"/>
        </w:rPr>
        <w:t xml:space="preserve">    2</w:t>
      </w:r>
      <w:r>
        <w:rPr>
          <w:rFonts w:hint="eastAsia" w:ascii="宋体" w:hAnsi="宋体"/>
          <w:szCs w:val="21"/>
        </w:rPr>
        <w:t>、投标总价应为以上各分项价格之和；</w:t>
      </w:r>
    </w:p>
    <w:p>
      <w:pPr>
        <w:ind w:firstLine="422" w:firstLineChars="200"/>
        <w:rPr>
          <w:rFonts w:ascii="宋体" w:hAnsi="宋体"/>
          <w:b/>
          <w:bCs/>
          <w:szCs w:val="21"/>
        </w:rPr>
      </w:pPr>
      <w:r>
        <w:rPr>
          <w:rFonts w:hint="eastAsia" w:ascii="宋体" w:hAnsi="宋体"/>
          <w:b/>
          <w:bCs/>
          <w:szCs w:val="21"/>
        </w:rPr>
        <w:t>3、本表格仅为指导性范本，供应商应根据项目具体情况对各分项内容进行调整提供详细分项报价。</w:t>
      </w: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pStyle w:val="6"/>
        <w:spacing w:before="120" w:after="120"/>
        <w:jc w:val="center"/>
        <w:rPr>
          <w:rFonts w:ascii="黑体"/>
          <w:sz w:val="28"/>
          <w:szCs w:val="28"/>
        </w:rPr>
      </w:pPr>
      <w:bookmarkStart w:id="274" w:name="_Toc29220"/>
      <w:r>
        <w:rPr>
          <w:rFonts w:hint="eastAsia" w:ascii="黑体"/>
          <w:sz w:val="28"/>
          <w:szCs w:val="28"/>
        </w:rPr>
        <w:t>八、供应商情况介绍</w:t>
      </w:r>
      <w:bookmarkEnd w:id="274"/>
    </w:p>
    <w:p>
      <w:pPr>
        <w:outlineLvl w:val="3"/>
        <w:rPr>
          <w:sz w:val="24"/>
        </w:rPr>
      </w:pPr>
      <w:r>
        <w:rPr>
          <w:rFonts w:hint="eastAsia"/>
          <w:sz w:val="24"/>
        </w:rPr>
        <w:t>（一）</w:t>
      </w:r>
      <w:bookmarkStart w:id="275" w:name="OLE_LINK47"/>
      <w:r>
        <w:rPr>
          <w:rFonts w:hint="eastAsia"/>
          <w:sz w:val="24"/>
        </w:rPr>
        <w:t>供应商一览表</w:t>
      </w:r>
    </w:p>
    <w:bookmarkEnd w:id="275"/>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szCs w:val="21"/>
              </w:rPr>
            </w:pPr>
            <w:r>
              <w:rPr>
                <w:rFonts w:hint="eastAsia" w:ascii="宋体" w:hAnsi="宋体"/>
                <w:szCs w:val="21"/>
              </w:rPr>
              <w:t>序号</w:t>
            </w:r>
          </w:p>
        </w:tc>
        <w:tc>
          <w:tcPr>
            <w:tcW w:w="2898" w:type="dxa"/>
            <w:vAlign w:val="center"/>
          </w:tcPr>
          <w:p>
            <w:pPr>
              <w:jc w:val="center"/>
              <w:rPr>
                <w:rFonts w:ascii="宋体" w:hAnsi="宋体"/>
                <w:szCs w:val="21"/>
              </w:rPr>
            </w:pPr>
            <w:r>
              <w:rPr>
                <w:rFonts w:hint="eastAsia" w:ascii="宋体" w:hAnsi="宋体"/>
                <w:szCs w:val="21"/>
              </w:rPr>
              <w:t>项  目</w:t>
            </w:r>
          </w:p>
        </w:tc>
        <w:tc>
          <w:tcPr>
            <w:tcW w:w="2268" w:type="dxa"/>
            <w:vAlign w:val="center"/>
          </w:tcPr>
          <w:p>
            <w:pPr>
              <w:jc w:val="center"/>
              <w:rPr>
                <w:rFonts w:ascii="宋体" w:hAnsi="宋体"/>
                <w:szCs w:val="21"/>
              </w:rPr>
            </w:pPr>
            <w:r>
              <w:rPr>
                <w:rFonts w:hint="eastAsia" w:ascii="宋体" w:hAnsi="宋体"/>
                <w:szCs w:val="21"/>
              </w:rPr>
              <w:t>内容及说明</w:t>
            </w:r>
          </w:p>
        </w:tc>
        <w:tc>
          <w:tcPr>
            <w:tcW w:w="2602"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szCs w:val="21"/>
              </w:rPr>
            </w:pPr>
            <w:r>
              <w:rPr>
                <w:rFonts w:hint="eastAsia" w:ascii="宋体" w:hAnsi="宋体"/>
                <w:szCs w:val="21"/>
              </w:rPr>
              <w:t>一</w:t>
            </w:r>
          </w:p>
        </w:tc>
        <w:tc>
          <w:tcPr>
            <w:tcW w:w="2898" w:type="dxa"/>
            <w:vAlign w:val="center"/>
          </w:tcPr>
          <w:p>
            <w:pPr>
              <w:rPr>
                <w:rFonts w:ascii="宋体" w:hAnsi="宋体"/>
                <w:szCs w:val="21"/>
              </w:rPr>
            </w:pPr>
            <w:r>
              <w:rPr>
                <w:rFonts w:hint="eastAsia" w:ascii="宋体" w:hAnsi="宋体"/>
                <w:szCs w:val="21"/>
              </w:rPr>
              <w:t>营业执照/事业单位法人证明</w:t>
            </w:r>
          </w:p>
        </w:tc>
        <w:tc>
          <w:tcPr>
            <w:tcW w:w="2268" w:type="dxa"/>
            <w:vAlign w:val="center"/>
          </w:tcPr>
          <w:p>
            <w:pPr>
              <w:rPr>
                <w:rFonts w:ascii="宋体" w:hAnsi="宋体"/>
                <w:szCs w:val="21"/>
              </w:rPr>
            </w:pPr>
          </w:p>
        </w:tc>
        <w:tc>
          <w:tcPr>
            <w:tcW w:w="2602" w:type="dxa"/>
            <w:vMerge w:val="restart"/>
          </w:tcPr>
          <w:p>
            <w:pPr>
              <w:rPr>
                <w:rFonts w:ascii="宋体" w:hAnsi="宋体"/>
                <w:szCs w:val="21"/>
              </w:rPr>
            </w:pPr>
            <w:r>
              <w:rPr>
                <w:rFonts w:hint="eastAsia" w:ascii="宋体" w:hAnsi="宋体"/>
                <w:szCs w:val="21"/>
              </w:rPr>
              <w:t>提供页码指引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rPr>
                <w:rFonts w:ascii="宋体" w:hAnsi="宋体"/>
                <w:szCs w:val="21"/>
              </w:rPr>
            </w:pPr>
            <w:r>
              <w:rPr>
                <w:rFonts w:hint="eastAsia" w:ascii="宋体" w:hAnsi="宋体"/>
                <w:szCs w:val="21"/>
              </w:rPr>
              <w:t>1.注册年度及注册编号</w:t>
            </w:r>
          </w:p>
        </w:tc>
        <w:tc>
          <w:tcPr>
            <w:tcW w:w="2268" w:type="dxa"/>
            <w:vAlign w:val="center"/>
          </w:tcPr>
          <w:p>
            <w:pPr>
              <w:rPr>
                <w:rFonts w:ascii="宋体" w:hAnsi="宋体"/>
                <w:szCs w:val="21"/>
              </w:rPr>
            </w:pPr>
          </w:p>
        </w:tc>
        <w:tc>
          <w:tcPr>
            <w:tcW w:w="2602"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rPr>
                <w:rFonts w:ascii="宋体" w:hAnsi="宋体"/>
                <w:szCs w:val="21"/>
              </w:rPr>
            </w:pPr>
            <w:r>
              <w:rPr>
                <w:rFonts w:hint="eastAsia" w:ascii="宋体" w:hAnsi="宋体"/>
                <w:szCs w:val="21"/>
              </w:rPr>
              <w:t>2.注册资金（万元）：</w:t>
            </w:r>
          </w:p>
        </w:tc>
        <w:tc>
          <w:tcPr>
            <w:tcW w:w="2268" w:type="dxa"/>
            <w:vAlign w:val="center"/>
          </w:tcPr>
          <w:p>
            <w:pPr>
              <w:rPr>
                <w:rFonts w:ascii="宋体" w:hAnsi="宋体"/>
                <w:szCs w:val="21"/>
              </w:rPr>
            </w:pPr>
          </w:p>
        </w:tc>
        <w:tc>
          <w:tcPr>
            <w:tcW w:w="2602"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rPr>
                <w:rFonts w:ascii="宋体" w:hAnsi="宋体"/>
                <w:szCs w:val="21"/>
              </w:rPr>
            </w:pPr>
            <w:r>
              <w:rPr>
                <w:rFonts w:hint="eastAsia" w:ascii="宋体" w:hAnsi="宋体"/>
                <w:szCs w:val="21"/>
              </w:rPr>
              <w:t>3.经营场所：</w:t>
            </w:r>
          </w:p>
        </w:tc>
        <w:tc>
          <w:tcPr>
            <w:tcW w:w="2268" w:type="dxa"/>
            <w:vAlign w:val="center"/>
          </w:tcPr>
          <w:p>
            <w:pPr>
              <w:rPr>
                <w:rFonts w:ascii="宋体" w:hAnsi="宋体"/>
                <w:szCs w:val="21"/>
              </w:rPr>
            </w:pPr>
          </w:p>
        </w:tc>
        <w:tc>
          <w:tcPr>
            <w:tcW w:w="2602"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szCs w:val="21"/>
              </w:rPr>
            </w:pPr>
            <w:r>
              <w:rPr>
                <w:rFonts w:hint="eastAsia" w:ascii="宋体" w:hAnsi="宋体"/>
                <w:szCs w:val="21"/>
              </w:rPr>
              <w:t>二</w:t>
            </w:r>
          </w:p>
        </w:tc>
        <w:tc>
          <w:tcPr>
            <w:tcW w:w="2898" w:type="dxa"/>
            <w:vAlign w:val="center"/>
          </w:tcPr>
          <w:p>
            <w:pPr>
              <w:rPr>
                <w:rFonts w:ascii="宋体" w:hAnsi="宋体"/>
                <w:szCs w:val="21"/>
              </w:rPr>
            </w:pPr>
            <w:r>
              <w:rPr>
                <w:rFonts w:hint="eastAsia" w:ascii="宋体" w:hAnsi="宋体"/>
                <w:szCs w:val="21"/>
              </w:rPr>
              <w:t>其他资格（质）证书</w:t>
            </w:r>
          </w:p>
        </w:tc>
        <w:tc>
          <w:tcPr>
            <w:tcW w:w="2268" w:type="dxa"/>
            <w:vAlign w:val="center"/>
          </w:tcPr>
          <w:p>
            <w:pPr>
              <w:rPr>
                <w:rFonts w:ascii="宋体" w:hAnsi="宋体"/>
                <w:szCs w:val="21"/>
              </w:rPr>
            </w:pPr>
            <w:r>
              <w:rPr>
                <w:rFonts w:hint="eastAsia" w:ascii="宋体" w:hAnsi="宋体"/>
                <w:szCs w:val="21"/>
              </w:rPr>
              <w:t>（可按表格格式扩展）</w:t>
            </w:r>
          </w:p>
        </w:tc>
        <w:tc>
          <w:tcPr>
            <w:tcW w:w="2602" w:type="dxa"/>
            <w:vMerge w:val="restart"/>
          </w:tcPr>
          <w:p>
            <w:pPr>
              <w:rPr>
                <w:rFonts w:ascii="宋体" w:hAnsi="宋体"/>
                <w:szCs w:val="21"/>
              </w:rPr>
            </w:pPr>
            <w:r>
              <w:rPr>
                <w:rFonts w:hint="eastAsia" w:ascii="宋体" w:hAnsi="宋体"/>
                <w:szCs w:val="21"/>
              </w:rPr>
              <w:t>提供页码指引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szCs w:val="21"/>
              </w:rPr>
            </w:pPr>
          </w:p>
        </w:tc>
        <w:tc>
          <w:tcPr>
            <w:tcW w:w="2898" w:type="dxa"/>
            <w:vAlign w:val="center"/>
          </w:tcPr>
          <w:p>
            <w:pPr>
              <w:rPr>
                <w:rFonts w:ascii="宋体" w:hAnsi="宋体"/>
                <w:szCs w:val="21"/>
              </w:rPr>
            </w:pPr>
            <w:r>
              <w:rPr>
                <w:rFonts w:hint="eastAsia" w:ascii="宋体" w:hAnsi="宋体"/>
                <w:szCs w:val="21"/>
              </w:rPr>
              <w:t>1.证书名称</w:t>
            </w:r>
          </w:p>
        </w:tc>
        <w:tc>
          <w:tcPr>
            <w:tcW w:w="2268" w:type="dxa"/>
            <w:vAlign w:val="center"/>
          </w:tcPr>
          <w:p>
            <w:pPr>
              <w:rPr>
                <w:rFonts w:ascii="宋体" w:hAnsi="宋体"/>
                <w:szCs w:val="21"/>
              </w:rPr>
            </w:pPr>
          </w:p>
        </w:tc>
        <w:tc>
          <w:tcPr>
            <w:tcW w:w="2602"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szCs w:val="21"/>
              </w:rPr>
            </w:pPr>
          </w:p>
        </w:tc>
        <w:tc>
          <w:tcPr>
            <w:tcW w:w="2898" w:type="dxa"/>
            <w:vAlign w:val="center"/>
          </w:tcPr>
          <w:p>
            <w:pPr>
              <w:rPr>
                <w:rFonts w:ascii="宋体" w:hAnsi="宋体"/>
                <w:szCs w:val="21"/>
              </w:rPr>
            </w:pPr>
            <w:r>
              <w:rPr>
                <w:rFonts w:hint="eastAsia" w:ascii="宋体" w:hAnsi="宋体"/>
                <w:szCs w:val="21"/>
              </w:rPr>
              <w:t>2.批准单位</w:t>
            </w:r>
          </w:p>
        </w:tc>
        <w:tc>
          <w:tcPr>
            <w:tcW w:w="2268" w:type="dxa"/>
            <w:vAlign w:val="center"/>
          </w:tcPr>
          <w:p>
            <w:pPr>
              <w:rPr>
                <w:rFonts w:ascii="宋体" w:hAnsi="宋体"/>
                <w:szCs w:val="21"/>
              </w:rPr>
            </w:pPr>
          </w:p>
        </w:tc>
        <w:tc>
          <w:tcPr>
            <w:tcW w:w="2602"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szCs w:val="21"/>
              </w:rPr>
            </w:pPr>
          </w:p>
        </w:tc>
        <w:tc>
          <w:tcPr>
            <w:tcW w:w="2898" w:type="dxa"/>
            <w:vAlign w:val="center"/>
          </w:tcPr>
          <w:p>
            <w:pPr>
              <w:rPr>
                <w:rFonts w:ascii="宋体" w:hAnsi="宋体"/>
                <w:szCs w:val="21"/>
              </w:rPr>
            </w:pPr>
            <w:r>
              <w:rPr>
                <w:rFonts w:hint="eastAsia" w:ascii="宋体" w:hAnsi="宋体"/>
                <w:szCs w:val="21"/>
              </w:rPr>
              <w:t>3.等级</w:t>
            </w:r>
          </w:p>
        </w:tc>
        <w:tc>
          <w:tcPr>
            <w:tcW w:w="2268" w:type="dxa"/>
            <w:vAlign w:val="center"/>
          </w:tcPr>
          <w:p>
            <w:pPr>
              <w:rPr>
                <w:rFonts w:ascii="宋体" w:hAnsi="宋体"/>
                <w:szCs w:val="21"/>
              </w:rPr>
            </w:pPr>
          </w:p>
        </w:tc>
        <w:tc>
          <w:tcPr>
            <w:tcW w:w="2602"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szCs w:val="21"/>
              </w:rPr>
            </w:pPr>
          </w:p>
        </w:tc>
        <w:tc>
          <w:tcPr>
            <w:tcW w:w="2898" w:type="dxa"/>
            <w:vAlign w:val="center"/>
          </w:tcPr>
          <w:p>
            <w:pPr>
              <w:rPr>
                <w:rFonts w:ascii="宋体" w:hAnsi="宋体"/>
                <w:szCs w:val="21"/>
              </w:rPr>
            </w:pPr>
            <w:r>
              <w:rPr>
                <w:rFonts w:hint="eastAsia" w:ascii="宋体" w:hAnsi="宋体"/>
                <w:szCs w:val="21"/>
              </w:rPr>
              <w:t>4.批准时间及编号</w:t>
            </w:r>
          </w:p>
        </w:tc>
        <w:tc>
          <w:tcPr>
            <w:tcW w:w="2268" w:type="dxa"/>
            <w:vAlign w:val="center"/>
          </w:tcPr>
          <w:p>
            <w:pPr>
              <w:rPr>
                <w:rFonts w:ascii="宋体" w:hAnsi="宋体"/>
                <w:szCs w:val="21"/>
              </w:rPr>
            </w:pPr>
          </w:p>
        </w:tc>
        <w:tc>
          <w:tcPr>
            <w:tcW w:w="2602"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szCs w:val="21"/>
              </w:rPr>
            </w:pPr>
          </w:p>
        </w:tc>
        <w:tc>
          <w:tcPr>
            <w:tcW w:w="2898" w:type="dxa"/>
            <w:vAlign w:val="center"/>
          </w:tcPr>
          <w:p>
            <w:pPr>
              <w:rPr>
                <w:rFonts w:ascii="宋体" w:hAnsi="宋体"/>
                <w:szCs w:val="21"/>
              </w:rPr>
            </w:pPr>
            <w:r>
              <w:rPr>
                <w:rFonts w:hint="eastAsia" w:ascii="宋体" w:hAnsi="宋体"/>
                <w:szCs w:val="21"/>
              </w:rPr>
              <w:t>5.有效期</w:t>
            </w:r>
          </w:p>
        </w:tc>
        <w:tc>
          <w:tcPr>
            <w:tcW w:w="2268" w:type="dxa"/>
            <w:vAlign w:val="center"/>
          </w:tcPr>
          <w:p>
            <w:pPr>
              <w:rPr>
                <w:rFonts w:ascii="宋体" w:hAnsi="宋体"/>
                <w:szCs w:val="21"/>
              </w:rPr>
            </w:pPr>
          </w:p>
        </w:tc>
        <w:tc>
          <w:tcPr>
            <w:tcW w:w="2602"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szCs w:val="21"/>
              </w:rPr>
            </w:pPr>
            <w:r>
              <w:rPr>
                <w:rFonts w:hint="eastAsia" w:ascii="宋体" w:hAnsi="宋体"/>
                <w:szCs w:val="21"/>
              </w:rPr>
              <w:t>三</w:t>
            </w:r>
          </w:p>
        </w:tc>
        <w:tc>
          <w:tcPr>
            <w:tcW w:w="2898" w:type="dxa"/>
            <w:vAlign w:val="center"/>
          </w:tcPr>
          <w:p>
            <w:pPr>
              <w:rPr>
                <w:rFonts w:ascii="宋体" w:hAnsi="宋体"/>
                <w:szCs w:val="21"/>
              </w:rPr>
            </w:pPr>
            <w:r>
              <w:rPr>
                <w:rFonts w:hint="eastAsia" w:ascii="宋体" w:hAnsi="宋体"/>
                <w:szCs w:val="21"/>
              </w:rPr>
              <w:t>其他</w:t>
            </w:r>
          </w:p>
        </w:tc>
        <w:tc>
          <w:tcPr>
            <w:tcW w:w="2268" w:type="dxa"/>
            <w:vAlign w:val="center"/>
          </w:tcPr>
          <w:p>
            <w:pPr>
              <w:rPr>
                <w:rFonts w:ascii="宋体" w:hAnsi="宋体"/>
                <w:szCs w:val="21"/>
              </w:rPr>
            </w:pPr>
            <w:r>
              <w:rPr>
                <w:rFonts w:hint="eastAsia" w:ascii="宋体" w:hAnsi="宋体"/>
                <w:szCs w:val="21"/>
              </w:rPr>
              <w:t>投标人认为需补充的其他说明</w:t>
            </w:r>
          </w:p>
        </w:tc>
        <w:tc>
          <w:tcPr>
            <w:tcW w:w="2602" w:type="dxa"/>
          </w:tcPr>
          <w:p>
            <w:pPr>
              <w:rPr>
                <w:rFonts w:ascii="宋体" w:hAnsi="宋体"/>
                <w:szCs w:val="21"/>
              </w:rPr>
            </w:pPr>
            <w:r>
              <w:rPr>
                <w:rFonts w:hint="eastAsia" w:ascii="宋体" w:hAnsi="宋体"/>
                <w:szCs w:val="21"/>
              </w:rPr>
              <w:t>提供页码指引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szCs w:val="21"/>
              </w:rPr>
            </w:pPr>
          </w:p>
        </w:tc>
        <w:tc>
          <w:tcPr>
            <w:tcW w:w="2898" w:type="dxa"/>
            <w:vAlign w:val="center"/>
          </w:tcPr>
          <w:p>
            <w:pPr>
              <w:rPr>
                <w:rFonts w:ascii="宋体" w:hAnsi="宋体"/>
                <w:szCs w:val="21"/>
              </w:rPr>
            </w:pPr>
            <w:r>
              <w:rPr>
                <w:rFonts w:hint="eastAsia" w:ascii="宋体" w:hAnsi="宋体"/>
                <w:szCs w:val="21"/>
              </w:rPr>
              <w:t>1.……</w:t>
            </w:r>
          </w:p>
        </w:tc>
        <w:tc>
          <w:tcPr>
            <w:tcW w:w="2268" w:type="dxa"/>
            <w:vAlign w:val="center"/>
          </w:tcPr>
          <w:p>
            <w:pPr>
              <w:rPr>
                <w:rFonts w:ascii="宋体" w:hAnsi="宋体"/>
                <w:szCs w:val="21"/>
              </w:rPr>
            </w:pPr>
          </w:p>
        </w:tc>
        <w:tc>
          <w:tcPr>
            <w:tcW w:w="2602" w:type="dxa"/>
          </w:tcPr>
          <w:p>
            <w:pPr>
              <w:rPr>
                <w:rFonts w:ascii="宋体" w:hAnsi="宋体"/>
                <w:szCs w:val="21"/>
              </w:rPr>
            </w:pPr>
          </w:p>
        </w:tc>
      </w:tr>
    </w:tbl>
    <w:p>
      <w:pPr>
        <w:snapToGrid w:val="0"/>
        <w:rPr>
          <w:rFonts w:ascii="宋体" w:hAnsi="宋体" w:cs="Arial"/>
          <w:szCs w:val="21"/>
        </w:rPr>
      </w:pPr>
      <w:r>
        <w:rPr>
          <w:rFonts w:ascii="宋体" w:cs="Arial"/>
          <w:szCs w:val="21"/>
        </w:rPr>
        <w:tab/>
      </w:r>
      <w:r>
        <w:rPr>
          <w:rFonts w:hint="eastAsia" w:ascii="宋体" w:hAnsi="宋体" w:cs="Arial"/>
          <w:szCs w:val="21"/>
        </w:rPr>
        <w:t>注：在按要求填写好此表格后，各投标单位可以用其它的方式，就公司整体情况作出详细的介绍（可以提供相应文字、照片等）。</w:t>
      </w:r>
    </w:p>
    <w:p>
      <w:pPr>
        <w:snapToGrid w:val="0"/>
        <w:rPr>
          <w:rFonts w:ascii="宋体" w:cs="Arial"/>
          <w:szCs w:val="21"/>
        </w:rPr>
      </w:pPr>
    </w:p>
    <w:p>
      <w:pPr>
        <w:rPr>
          <w:sz w:val="24"/>
        </w:rPr>
      </w:pPr>
    </w:p>
    <w:p>
      <w:pPr>
        <w:outlineLvl w:val="3"/>
        <w:rPr>
          <w:sz w:val="24"/>
        </w:rPr>
      </w:pPr>
      <w:r>
        <w:rPr>
          <w:rFonts w:hint="eastAsia"/>
          <w:sz w:val="24"/>
        </w:rPr>
        <w:t>（二）</w:t>
      </w:r>
      <w:bookmarkStart w:id="276" w:name="OLE_LINK49"/>
      <w:r>
        <w:rPr>
          <w:rFonts w:hint="eastAsia"/>
          <w:sz w:val="24"/>
        </w:rPr>
        <w:t>投标人资格证明文件</w:t>
      </w:r>
      <w:bookmarkEnd w:id="276"/>
    </w:p>
    <w:p>
      <w:pPr>
        <w:spacing w:before="156" w:beforeLines="50"/>
      </w:pPr>
      <w:r>
        <w:rPr>
          <w:rFonts w:hint="eastAsia"/>
        </w:rPr>
        <w:t>（特别提示：投标人须按本招标文件第一章招标公告 “投标人资格要求”提供相关的资质证明，未提供或提供不完整、不符合要求的，投标文件将按无效投标处理。）</w:t>
      </w:r>
    </w:p>
    <w:p>
      <w:pPr>
        <w:rPr>
          <w:sz w:val="24"/>
        </w:rPr>
      </w:pPr>
      <w:bookmarkStart w:id="277" w:name="OLE_LINK55"/>
    </w:p>
    <w:p>
      <w:pPr>
        <w:rPr>
          <w:sz w:val="24"/>
        </w:rPr>
      </w:pPr>
      <w:bookmarkStart w:id="278" w:name="OLE_LINK50"/>
      <w:r>
        <w:rPr>
          <w:rFonts w:hint="eastAsia"/>
          <w:sz w:val="24"/>
        </w:rPr>
        <w:t>（三）评标信息要求提供的证明文件（按照评标信息内容逐一提供）</w:t>
      </w:r>
    </w:p>
    <w:bookmarkEnd w:id="278"/>
    <w:p/>
    <w:p>
      <w:pPr>
        <w:tabs>
          <w:tab w:val="left" w:pos="414"/>
          <w:tab w:val="left" w:pos="1974"/>
          <w:tab w:val="left" w:pos="3414"/>
          <w:tab w:val="left" w:pos="4854"/>
          <w:tab w:val="left" w:pos="6174"/>
          <w:tab w:val="left" w:pos="7614"/>
          <w:tab w:val="left" w:pos="9414"/>
        </w:tabs>
        <w:spacing w:line="240" w:lineRule="atLeast"/>
        <w:rPr>
          <w:rFonts w:ascii="宋体" w:hAnsi="宋体"/>
          <w:szCs w:val="21"/>
        </w:rPr>
      </w:pPr>
      <w:r>
        <w:rPr>
          <w:rFonts w:hint="eastAsia"/>
          <w:sz w:val="24"/>
        </w:rPr>
        <w:t>（四）中小企业声明函及残疾人福利性单位声明函</w:t>
      </w:r>
      <w:bookmarkEnd w:id="277"/>
      <w:bookmarkStart w:id="279" w:name="OLE_LINK57"/>
      <w:r>
        <w:rPr>
          <w:rFonts w:hint="eastAsia"/>
          <w:sz w:val="24"/>
        </w:rPr>
        <w:t>（或省级以上监狱管理局、戒毒管理局（含新疆生产建设兵团）出具的属于监狱企业的证明文件）</w:t>
      </w:r>
      <w:bookmarkEnd w:id="279"/>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rPr>
          <w:rFonts w:ascii="黑体" w:eastAsia="黑体"/>
          <w:sz w:val="28"/>
          <w:szCs w:val="28"/>
        </w:rPr>
      </w:pPr>
      <w:r>
        <w:rPr>
          <w:rFonts w:hint="eastAsia" w:ascii="黑体" w:eastAsia="黑体"/>
          <w:sz w:val="28"/>
          <w:szCs w:val="28"/>
        </w:rPr>
        <w:br w:type="page"/>
      </w:r>
    </w:p>
    <w:p>
      <w:pPr>
        <w:pStyle w:val="6"/>
        <w:spacing w:before="120" w:after="120"/>
        <w:jc w:val="center"/>
        <w:rPr>
          <w:rFonts w:ascii="黑体"/>
          <w:sz w:val="28"/>
          <w:szCs w:val="28"/>
        </w:rPr>
      </w:pPr>
      <w:bookmarkStart w:id="280" w:name="_Toc11391"/>
      <w:r>
        <w:rPr>
          <w:rFonts w:hint="eastAsia" w:ascii="黑体"/>
          <w:sz w:val="28"/>
          <w:szCs w:val="28"/>
        </w:rPr>
        <w:t>九、项目实施方案</w:t>
      </w:r>
      <w:bookmarkEnd w:id="280"/>
    </w:p>
    <w:p>
      <w:pPr>
        <w:spacing w:line="360" w:lineRule="auto"/>
        <w:rPr>
          <w:rFonts w:ascii="宋体" w:hAnsi="宋体" w:cs="Arial"/>
          <w:bCs/>
          <w:szCs w:val="21"/>
        </w:rPr>
      </w:pPr>
      <w:r>
        <w:rPr>
          <w:rFonts w:hint="eastAsia" w:ascii="宋体" w:hAnsi="宋体" w:cs="Arial"/>
          <w:bCs/>
          <w:szCs w:val="21"/>
        </w:rPr>
        <w:t>主要内容应包括（可根据项目实际情况适当调整内容）</w:t>
      </w:r>
    </w:p>
    <w:p>
      <w:pPr>
        <w:rPr>
          <w:rFonts w:ascii="Arial" w:cs="Arial"/>
        </w:rPr>
      </w:pPr>
      <w:r>
        <w:rPr>
          <w:rFonts w:ascii="宋体" w:hAnsi="宋体" w:cs="Arial"/>
          <w:bCs/>
          <w:szCs w:val="21"/>
        </w:rPr>
        <w:t xml:space="preserve">1. </w:t>
      </w:r>
      <w:r>
        <w:rPr>
          <w:rFonts w:hint="eastAsia" w:ascii="Arial" w:cs="Arial"/>
        </w:rPr>
        <w:t>项目管理班子配备情况（表</w:t>
      </w:r>
      <w:r>
        <w:rPr>
          <w:rFonts w:ascii="Arial" w:cs="Arial"/>
        </w:rPr>
        <w:t>1 ~</w:t>
      </w:r>
      <w:r>
        <w:rPr>
          <w:rFonts w:hint="eastAsia" w:ascii="Arial" w:cs="Arial"/>
        </w:rPr>
        <w:t>表3）</w:t>
      </w:r>
    </w:p>
    <w:p>
      <w:pPr>
        <w:spacing w:after="60"/>
        <w:jc w:val="center"/>
        <w:rPr>
          <w:rFonts w:ascii="Arial" w:hAnsi="Arial" w:eastAsia="黑体" w:cs="Arial"/>
          <w:bCs/>
          <w:sz w:val="24"/>
        </w:rPr>
      </w:pPr>
      <w:r>
        <w:rPr>
          <w:rFonts w:hint="eastAsia" w:ascii="Arial" w:hAnsi="Arial" w:eastAsia="黑体" w:cs="Arial"/>
          <w:bCs/>
          <w:sz w:val="24"/>
        </w:rPr>
        <w:t>表1  项目管理班子配备情况表</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00"/>
        <w:gridCol w:w="900"/>
        <w:gridCol w:w="1188"/>
        <w:gridCol w:w="720"/>
        <w:gridCol w:w="720"/>
        <w:gridCol w:w="720"/>
        <w:gridCol w:w="1300"/>
        <w:gridCol w:w="8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vAlign w:val="center"/>
          </w:tcPr>
          <w:p>
            <w:pPr>
              <w:spacing w:before="40" w:after="20"/>
              <w:jc w:val="center"/>
              <w:rPr>
                <w:rFonts w:ascii="Arial" w:hAnsi="宋体" w:cs="Arial"/>
                <w:sz w:val="18"/>
                <w:szCs w:val="18"/>
              </w:rPr>
            </w:pPr>
            <w:r>
              <w:rPr>
                <w:rFonts w:hint="eastAsia" w:ascii="Arial" w:hAnsi="宋体" w:cs="Arial"/>
                <w:sz w:val="18"/>
                <w:szCs w:val="18"/>
              </w:rPr>
              <w:t>职务</w:t>
            </w:r>
          </w:p>
        </w:tc>
        <w:tc>
          <w:tcPr>
            <w:tcW w:w="900" w:type="dxa"/>
            <w:vMerge w:val="restart"/>
            <w:vAlign w:val="center"/>
          </w:tcPr>
          <w:p>
            <w:pPr>
              <w:spacing w:before="40" w:after="20"/>
              <w:jc w:val="center"/>
              <w:rPr>
                <w:rFonts w:ascii="Arial" w:hAnsi="宋体" w:cs="Arial"/>
                <w:sz w:val="18"/>
                <w:szCs w:val="18"/>
              </w:rPr>
            </w:pPr>
            <w:r>
              <w:rPr>
                <w:rFonts w:hint="eastAsia" w:ascii="Arial" w:hAnsi="宋体" w:cs="Arial"/>
                <w:sz w:val="18"/>
                <w:szCs w:val="18"/>
              </w:rPr>
              <w:t>姓名</w:t>
            </w:r>
          </w:p>
        </w:tc>
        <w:tc>
          <w:tcPr>
            <w:tcW w:w="900" w:type="dxa"/>
            <w:vMerge w:val="restart"/>
            <w:vAlign w:val="center"/>
          </w:tcPr>
          <w:p>
            <w:pPr>
              <w:spacing w:before="40" w:after="20"/>
              <w:jc w:val="center"/>
              <w:rPr>
                <w:rFonts w:ascii="Arial" w:hAnsi="宋体" w:cs="Arial"/>
                <w:sz w:val="18"/>
                <w:szCs w:val="18"/>
              </w:rPr>
            </w:pPr>
            <w:r>
              <w:rPr>
                <w:rFonts w:hint="eastAsia" w:ascii="Arial" w:hAnsi="宋体" w:cs="Arial"/>
                <w:sz w:val="18"/>
                <w:szCs w:val="18"/>
              </w:rPr>
              <w:t>职称</w:t>
            </w:r>
          </w:p>
        </w:tc>
        <w:tc>
          <w:tcPr>
            <w:tcW w:w="4648" w:type="dxa"/>
            <w:gridSpan w:val="5"/>
            <w:vAlign w:val="center"/>
          </w:tcPr>
          <w:p>
            <w:pPr>
              <w:spacing w:before="40" w:after="20"/>
              <w:jc w:val="center"/>
              <w:rPr>
                <w:rFonts w:ascii="Arial" w:hAnsi="宋体" w:cs="Arial"/>
                <w:sz w:val="18"/>
                <w:szCs w:val="18"/>
              </w:rPr>
            </w:pPr>
            <w:r>
              <w:rPr>
                <w:rFonts w:hint="eastAsia" w:ascii="Arial" w:hAnsi="宋体" w:cs="Arial"/>
                <w:sz w:val="18"/>
                <w:szCs w:val="18"/>
              </w:rPr>
              <w:t>上岗资格证明</w:t>
            </w:r>
          </w:p>
        </w:tc>
        <w:tc>
          <w:tcPr>
            <w:tcW w:w="1940" w:type="dxa"/>
            <w:gridSpan w:val="2"/>
            <w:vAlign w:val="center"/>
          </w:tcPr>
          <w:p>
            <w:pPr>
              <w:spacing w:before="40" w:after="20"/>
              <w:jc w:val="center"/>
              <w:rPr>
                <w:rFonts w:ascii="Arial" w:hAnsi="宋体" w:cs="Arial"/>
                <w:sz w:val="18"/>
                <w:szCs w:val="18"/>
              </w:rPr>
            </w:pPr>
            <w:r>
              <w:rPr>
                <w:rFonts w:hint="eastAsia" w:ascii="Arial" w:hAnsi="宋体" w:cs="Arial"/>
                <w:sz w:val="18"/>
                <w:szCs w:val="18"/>
              </w:rPr>
              <w:t>已承担在建项目情况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pPr>
              <w:spacing w:before="40" w:after="20"/>
              <w:jc w:val="center"/>
              <w:rPr>
                <w:rFonts w:ascii="Arial" w:hAnsi="宋体" w:cs="Arial"/>
                <w:sz w:val="18"/>
                <w:szCs w:val="18"/>
              </w:rPr>
            </w:pPr>
          </w:p>
        </w:tc>
        <w:tc>
          <w:tcPr>
            <w:tcW w:w="900" w:type="dxa"/>
            <w:vMerge w:val="continue"/>
            <w:vAlign w:val="center"/>
          </w:tcPr>
          <w:p>
            <w:pPr>
              <w:spacing w:before="40" w:after="20"/>
              <w:jc w:val="center"/>
              <w:rPr>
                <w:rFonts w:ascii="Arial" w:hAnsi="宋体" w:cs="Arial"/>
                <w:sz w:val="18"/>
                <w:szCs w:val="18"/>
              </w:rPr>
            </w:pPr>
          </w:p>
        </w:tc>
        <w:tc>
          <w:tcPr>
            <w:tcW w:w="900" w:type="dxa"/>
            <w:vMerge w:val="continue"/>
            <w:vAlign w:val="center"/>
          </w:tcPr>
          <w:p>
            <w:pPr>
              <w:spacing w:before="40" w:after="20"/>
              <w:jc w:val="center"/>
              <w:rPr>
                <w:rFonts w:ascii="Arial" w:hAnsi="宋体" w:cs="Arial"/>
                <w:sz w:val="18"/>
                <w:szCs w:val="18"/>
              </w:rPr>
            </w:pPr>
          </w:p>
        </w:tc>
        <w:tc>
          <w:tcPr>
            <w:tcW w:w="1188" w:type="dxa"/>
            <w:vAlign w:val="center"/>
          </w:tcPr>
          <w:p>
            <w:pPr>
              <w:spacing w:before="40" w:after="20"/>
              <w:jc w:val="center"/>
              <w:rPr>
                <w:rFonts w:ascii="Arial" w:hAnsi="宋体" w:cs="Arial"/>
                <w:sz w:val="18"/>
                <w:szCs w:val="18"/>
              </w:rPr>
            </w:pPr>
            <w:r>
              <w:rPr>
                <w:rFonts w:hint="eastAsia" w:ascii="Arial" w:hAnsi="宋体" w:cs="Arial"/>
                <w:sz w:val="18"/>
                <w:szCs w:val="18"/>
              </w:rPr>
              <w:t>证书名称</w:t>
            </w:r>
          </w:p>
        </w:tc>
        <w:tc>
          <w:tcPr>
            <w:tcW w:w="720" w:type="dxa"/>
            <w:vAlign w:val="center"/>
          </w:tcPr>
          <w:p>
            <w:pPr>
              <w:spacing w:before="40" w:after="20"/>
              <w:jc w:val="center"/>
              <w:rPr>
                <w:rFonts w:ascii="Arial" w:hAnsi="宋体" w:cs="Arial"/>
                <w:sz w:val="18"/>
                <w:szCs w:val="18"/>
              </w:rPr>
            </w:pPr>
            <w:r>
              <w:rPr>
                <w:rFonts w:hint="eastAsia" w:ascii="Arial" w:hAnsi="宋体" w:cs="Arial"/>
                <w:sz w:val="18"/>
                <w:szCs w:val="18"/>
              </w:rPr>
              <w:t>级别</w:t>
            </w:r>
          </w:p>
        </w:tc>
        <w:tc>
          <w:tcPr>
            <w:tcW w:w="720" w:type="dxa"/>
            <w:vAlign w:val="center"/>
          </w:tcPr>
          <w:p>
            <w:pPr>
              <w:spacing w:before="40" w:after="20"/>
              <w:jc w:val="center"/>
              <w:rPr>
                <w:rFonts w:ascii="Arial" w:hAnsi="宋体" w:cs="Arial"/>
                <w:sz w:val="18"/>
                <w:szCs w:val="18"/>
              </w:rPr>
            </w:pPr>
            <w:r>
              <w:rPr>
                <w:rFonts w:hint="eastAsia" w:ascii="Arial" w:hAnsi="宋体" w:cs="Arial"/>
                <w:sz w:val="18"/>
                <w:szCs w:val="18"/>
              </w:rPr>
              <w:t>证号</w:t>
            </w:r>
          </w:p>
        </w:tc>
        <w:tc>
          <w:tcPr>
            <w:tcW w:w="720" w:type="dxa"/>
            <w:vAlign w:val="center"/>
          </w:tcPr>
          <w:p>
            <w:pPr>
              <w:spacing w:before="40" w:after="20"/>
              <w:jc w:val="center"/>
              <w:rPr>
                <w:rFonts w:ascii="Arial" w:hAnsi="宋体" w:cs="Arial"/>
                <w:sz w:val="18"/>
                <w:szCs w:val="18"/>
              </w:rPr>
            </w:pPr>
            <w:r>
              <w:rPr>
                <w:rFonts w:hint="eastAsia" w:ascii="Arial" w:hAnsi="宋体" w:cs="Arial"/>
                <w:sz w:val="18"/>
                <w:szCs w:val="18"/>
              </w:rPr>
              <w:t>专业</w:t>
            </w:r>
          </w:p>
        </w:tc>
        <w:tc>
          <w:tcPr>
            <w:tcW w:w="1300" w:type="dxa"/>
            <w:vAlign w:val="center"/>
          </w:tcPr>
          <w:p>
            <w:pPr>
              <w:spacing w:before="40" w:after="20"/>
              <w:jc w:val="center"/>
              <w:rPr>
                <w:rFonts w:ascii="Arial" w:hAnsi="宋体" w:cs="Arial"/>
                <w:sz w:val="18"/>
                <w:szCs w:val="18"/>
              </w:rPr>
            </w:pPr>
            <w:r>
              <w:rPr>
                <w:rFonts w:hint="eastAsia" w:ascii="Arial" w:hAnsi="宋体" w:cs="Arial"/>
                <w:sz w:val="18"/>
                <w:szCs w:val="18"/>
              </w:rPr>
              <w:t>原服务单位</w:t>
            </w:r>
          </w:p>
        </w:tc>
        <w:tc>
          <w:tcPr>
            <w:tcW w:w="860" w:type="dxa"/>
            <w:vAlign w:val="center"/>
          </w:tcPr>
          <w:p>
            <w:pPr>
              <w:spacing w:before="40" w:after="20"/>
              <w:jc w:val="center"/>
              <w:rPr>
                <w:rFonts w:ascii="Arial" w:hAnsi="宋体" w:cs="Arial"/>
                <w:sz w:val="18"/>
                <w:szCs w:val="18"/>
              </w:rPr>
            </w:pPr>
            <w:r>
              <w:rPr>
                <w:rFonts w:hint="eastAsia" w:ascii="Arial" w:hAnsi="宋体" w:cs="Arial"/>
                <w:sz w:val="18"/>
                <w:szCs w:val="18"/>
              </w:rPr>
              <w:t>项目数</w:t>
            </w:r>
          </w:p>
        </w:tc>
        <w:tc>
          <w:tcPr>
            <w:tcW w:w="1080" w:type="dxa"/>
            <w:vAlign w:val="center"/>
          </w:tcPr>
          <w:p>
            <w:pPr>
              <w:spacing w:before="40" w:after="20"/>
              <w:jc w:val="center"/>
              <w:rPr>
                <w:rFonts w:ascii="Arial" w:hAnsi="宋体" w:cs="Arial"/>
                <w:sz w:val="18"/>
                <w:szCs w:val="18"/>
              </w:rPr>
            </w:pPr>
            <w:r>
              <w:rPr>
                <w:rFonts w:hint="eastAsia" w:ascii="Arial" w:hAnsi="宋体" w:cs="Arial"/>
                <w:sz w:val="18"/>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Pr>
          <w:p>
            <w:pPr>
              <w:spacing w:before="40" w:after="20"/>
              <w:jc w:val="center"/>
              <w:rPr>
                <w:rFonts w:ascii="Arial" w:hAnsi="宋体" w:cs="Arial"/>
                <w:sz w:val="18"/>
                <w:szCs w:val="18"/>
              </w:rPr>
            </w:pPr>
          </w:p>
        </w:tc>
        <w:tc>
          <w:tcPr>
            <w:tcW w:w="900" w:type="dxa"/>
          </w:tcPr>
          <w:p>
            <w:pPr>
              <w:spacing w:before="40" w:after="20"/>
              <w:jc w:val="center"/>
              <w:rPr>
                <w:rFonts w:ascii="Arial" w:hAnsi="宋体" w:cs="Arial"/>
                <w:sz w:val="18"/>
                <w:szCs w:val="18"/>
              </w:rPr>
            </w:pPr>
          </w:p>
        </w:tc>
        <w:tc>
          <w:tcPr>
            <w:tcW w:w="900" w:type="dxa"/>
          </w:tcPr>
          <w:p>
            <w:pPr>
              <w:spacing w:before="40" w:after="20"/>
              <w:jc w:val="center"/>
              <w:rPr>
                <w:rFonts w:ascii="Arial" w:hAnsi="宋体" w:cs="Arial"/>
                <w:sz w:val="18"/>
                <w:szCs w:val="18"/>
              </w:rPr>
            </w:pPr>
          </w:p>
        </w:tc>
        <w:tc>
          <w:tcPr>
            <w:tcW w:w="1188" w:type="dxa"/>
          </w:tcPr>
          <w:p>
            <w:pPr>
              <w:spacing w:before="40" w:after="20"/>
              <w:jc w:val="center"/>
              <w:rPr>
                <w:rFonts w:ascii="Arial" w:hAnsi="宋体" w:cs="Arial"/>
                <w:sz w:val="18"/>
                <w:szCs w:val="18"/>
              </w:rPr>
            </w:pPr>
          </w:p>
        </w:tc>
        <w:tc>
          <w:tcPr>
            <w:tcW w:w="720" w:type="dxa"/>
          </w:tcPr>
          <w:p>
            <w:pPr>
              <w:spacing w:before="40" w:after="20"/>
              <w:jc w:val="center"/>
              <w:rPr>
                <w:rFonts w:ascii="Arial" w:hAnsi="宋体" w:cs="Arial"/>
                <w:sz w:val="18"/>
                <w:szCs w:val="18"/>
              </w:rPr>
            </w:pPr>
          </w:p>
        </w:tc>
        <w:tc>
          <w:tcPr>
            <w:tcW w:w="720" w:type="dxa"/>
          </w:tcPr>
          <w:p>
            <w:pPr>
              <w:spacing w:before="40" w:after="20"/>
              <w:jc w:val="center"/>
              <w:rPr>
                <w:rFonts w:ascii="Arial" w:hAnsi="宋体" w:cs="Arial"/>
                <w:sz w:val="18"/>
                <w:szCs w:val="18"/>
              </w:rPr>
            </w:pPr>
          </w:p>
        </w:tc>
        <w:tc>
          <w:tcPr>
            <w:tcW w:w="720" w:type="dxa"/>
          </w:tcPr>
          <w:p>
            <w:pPr>
              <w:spacing w:before="40" w:after="20"/>
              <w:jc w:val="center"/>
              <w:rPr>
                <w:rFonts w:ascii="Arial" w:hAnsi="宋体" w:cs="Arial"/>
                <w:sz w:val="18"/>
                <w:szCs w:val="18"/>
              </w:rPr>
            </w:pPr>
          </w:p>
        </w:tc>
        <w:tc>
          <w:tcPr>
            <w:tcW w:w="1300" w:type="dxa"/>
          </w:tcPr>
          <w:p>
            <w:pPr>
              <w:spacing w:before="40" w:after="20"/>
              <w:jc w:val="center"/>
              <w:rPr>
                <w:rFonts w:ascii="Arial" w:hAnsi="宋体" w:cs="Arial"/>
                <w:sz w:val="18"/>
                <w:szCs w:val="18"/>
              </w:rPr>
            </w:pPr>
          </w:p>
        </w:tc>
        <w:tc>
          <w:tcPr>
            <w:tcW w:w="860" w:type="dxa"/>
          </w:tcPr>
          <w:p>
            <w:pPr>
              <w:spacing w:before="40" w:after="20"/>
              <w:jc w:val="center"/>
              <w:rPr>
                <w:rFonts w:ascii="Arial" w:hAnsi="宋体" w:cs="Arial"/>
                <w:sz w:val="18"/>
                <w:szCs w:val="18"/>
              </w:rPr>
            </w:pPr>
          </w:p>
        </w:tc>
        <w:tc>
          <w:tcPr>
            <w:tcW w:w="1080" w:type="dxa"/>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Pr>
          <w:p>
            <w:pPr>
              <w:spacing w:before="40" w:after="20"/>
              <w:jc w:val="center"/>
              <w:rPr>
                <w:rFonts w:ascii="Arial" w:hAnsi="宋体" w:cs="Arial"/>
                <w:sz w:val="18"/>
                <w:szCs w:val="18"/>
              </w:rPr>
            </w:pPr>
          </w:p>
        </w:tc>
        <w:tc>
          <w:tcPr>
            <w:tcW w:w="900" w:type="dxa"/>
          </w:tcPr>
          <w:p>
            <w:pPr>
              <w:spacing w:before="40" w:after="20"/>
              <w:jc w:val="center"/>
              <w:rPr>
                <w:rFonts w:ascii="Arial" w:hAnsi="宋体" w:cs="Arial"/>
                <w:sz w:val="18"/>
                <w:szCs w:val="18"/>
              </w:rPr>
            </w:pPr>
          </w:p>
        </w:tc>
        <w:tc>
          <w:tcPr>
            <w:tcW w:w="900" w:type="dxa"/>
          </w:tcPr>
          <w:p>
            <w:pPr>
              <w:spacing w:before="40" w:after="20"/>
              <w:jc w:val="center"/>
              <w:rPr>
                <w:rFonts w:ascii="Arial" w:hAnsi="宋体" w:cs="Arial"/>
                <w:sz w:val="18"/>
                <w:szCs w:val="18"/>
              </w:rPr>
            </w:pPr>
          </w:p>
        </w:tc>
        <w:tc>
          <w:tcPr>
            <w:tcW w:w="1188" w:type="dxa"/>
          </w:tcPr>
          <w:p>
            <w:pPr>
              <w:spacing w:before="40" w:after="20"/>
              <w:jc w:val="center"/>
              <w:rPr>
                <w:rFonts w:ascii="Arial" w:hAnsi="宋体" w:cs="Arial"/>
                <w:sz w:val="18"/>
                <w:szCs w:val="18"/>
              </w:rPr>
            </w:pPr>
          </w:p>
        </w:tc>
        <w:tc>
          <w:tcPr>
            <w:tcW w:w="720" w:type="dxa"/>
          </w:tcPr>
          <w:p>
            <w:pPr>
              <w:spacing w:before="40" w:after="20"/>
              <w:jc w:val="center"/>
              <w:rPr>
                <w:rFonts w:ascii="Arial" w:hAnsi="宋体" w:cs="Arial"/>
                <w:sz w:val="18"/>
                <w:szCs w:val="18"/>
              </w:rPr>
            </w:pPr>
          </w:p>
        </w:tc>
        <w:tc>
          <w:tcPr>
            <w:tcW w:w="720" w:type="dxa"/>
          </w:tcPr>
          <w:p>
            <w:pPr>
              <w:spacing w:before="40" w:after="20"/>
              <w:jc w:val="center"/>
              <w:rPr>
                <w:rFonts w:ascii="Arial" w:hAnsi="宋体" w:cs="Arial"/>
                <w:sz w:val="18"/>
                <w:szCs w:val="18"/>
              </w:rPr>
            </w:pPr>
          </w:p>
        </w:tc>
        <w:tc>
          <w:tcPr>
            <w:tcW w:w="720" w:type="dxa"/>
          </w:tcPr>
          <w:p>
            <w:pPr>
              <w:spacing w:before="40" w:after="20"/>
              <w:jc w:val="center"/>
              <w:rPr>
                <w:rFonts w:ascii="Arial" w:hAnsi="宋体" w:cs="Arial"/>
                <w:sz w:val="18"/>
                <w:szCs w:val="18"/>
              </w:rPr>
            </w:pPr>
          </w:p>
        </w:tc>
        <w:tc>
          <w:tcPr>
            <w:tcW w:w="1300" w:type="dxa"/>
          </w:tcPr>
          <w:p>
            <w:pPr>
              <w:spacing w:before="40" w:after="20"/>
              <w:jc w:val="center"/>
              <w:rPr>
                <w:rFonts w:ascii="Arial" w:hAnsi="宋体" w:cs="Arial"/>
                <w:sz w:val="18"/>
                <w:szCs w:val="18"/>
              </w:rPr>
            </w:pPr>
          </w:p>
        </w:tc>
        <w:tc>
          <w:tcPr>
            <w:tcW w:w="860" w:type="dxa"/>
          </w:tcPr>
          <w:p>
            <w:pPr>
              <w:spacing w:before="40" w:after="20"/>
              <w:jc w:val="center"/>
              <w:rPr>
                <w:rFonts w:ascii="Arial" w:hAnsi="宋体" w:cs="Arial"/>
                <w:sz w:val="18"/>
                <w:szCs w:val="18"/>
              </w:rPr>
            </w:pPr>
          </w:p>
        </w:tc>
        <w:tc>
          <w:tcPr>
            <w:tcW w:w="1080" w:type="dxa"/>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10"/>
          </w:tcPr>
          <w:p>
            <w:pPr>
              <w:spacing w:before="40" w:after="20"/>
              <w:rPr>
                <w:rFonts w:ascii="Arial" w:hAnsi="宋体" w:cs="Arial"/>
                <w:sz w:val="18"/>
                <w:szCs w:val="18"/>
              </w:rPr>
            </w:pPr>
            <w:r>
              <w:rPr>
                <w:rFonts w:hint="eastAsia" w:ascii="Arial" w:hAnsi="宋体" w:cs="Arial"/>
                <w:sz w:val="18"/>
                <w:szCs w:val="18"/>
              </w:rPr>
              <w:t>本项目一旦我单位中标，将实行项目经理负责制，并配备上述项目管理班子，上述所报内容真实，否则，愿按有关规定接受处理，项目管理班子机构处置、职责分工等情况另附资料说明。</w:t>
            </w:r>
          </w:p>
        </w:tc>
      </w:tr>
    </w:tbl>
    <w:p>
      <w:pPr>
        <w:ind w:firstLine="1859" w:firstLineChars="882"/>
        <w:rPr>
          <w:b/>
          <w:bCs/>
          <w:szCs w:val="21"/>
        </w:rPr>
      </w:pPr>
    </w:p>
    <w:p>
      <w:pPr>
        <w:spacing w:after="60"/>
        <w:jc w:val="center"/>
        <w:rPr>
          <w:rFonts w:ascii="Arial" w:hAnsi="Arial" w:eastAsia="黑体" w:cs="Arial"/>
          <w:bCs/>
          <w:sz w:val="24"/>
        </w:rPr>
      </w:pPr>
      <w:r>
        <w:rPr>
          <w:rFonts w:hint="eastAsia" w:ascii="Arial" w:hAnsi="Arial" w:eastAsia="黑体" w:cs="Arial"/>
          <w:bCs/>
          <w:sz w:val="24"/>
        </w:rPr>
        <w:t>表2  项目经理/项目负责人简历表</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60"/>
        <w:gridCol w:w="720"/>
        <w:gridCol w:w="1063"/>
        <w:gridCol w:w="197"/>
        <w:gridCol w:w="1080"/>
        <w:gridCol w:w="214"/>
        <w:gridCol w:w="1548"/>
        <w:gridCol w:w="218"/>
        <w:gridCol w:w="720"/>
        <w:gridCol w:w="180"/>
        <w:gridCol w:w="46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before="20" w:after="20"/>
              <w:jc w:val="center"/>
              <w:rPr>
                <w:rFonts w:ascii="Arial" w:hAnsi="宋体" w:cs="Arial"/>
                <w:sz w:val="18"/>
                <w:szCs w:val="18"/>
              </w:rPr>
            </w:pPr>
            <w:r>
              <w:rPr>
                <w:rFonts w:hint="eastAsia" w:ascii="Arial" w:hAnsi="宋体" w:cs="Arial"/>
                <w:sz w:val="18"/>
                <w:szCs w:val="18"/>
              </w:rPr>
              <w:t>姓名</w:t>
            </w:r>
          </w:p>
        </w:tc>
        <w:tc>
          <w:tcPr>
            <w:tcW w:w="2340" w:type="dxa"/>
            <w:gridSpan w:val="4"/>
            <w:vAlign w:val="center"/>
          </w:tcPr>
          <w:p>
            <w:pPr>
              <w:spacing w:before="20" w:after="20"/>
              <w:jc w:val="center"/>
              <w:rPr>
                <w:rFonts w:ascii="Arial" w:hAnsi="宋体" w:cs="Arial"/>
                <w:sz w:val="18"/>
                <w:szCs w:val="18"/>
              </w:rPr>
            </w:pPr>
          </w:p>
        </w:tc>
        <w:tc>
          <w:tcPr>
            <w:tcW w:w="1080" w:type="dxa"/>
            <w:vAlign w:val="center"/>
          </w:tcPr>
          <w:p>
            <w:pPr>
              <w:spacing w:before="20" w:after="20"/>
              <w:jc w:val="center"/>
              <w:rPr>
                <w:rFonts w:ascii="Arial" w:hAnsi="宋体" w:cs="Arial"/>
                <w:sz w:val="18"/>
                <w:szCs w:val="18"/>
              </w:rPr>
            </w:pPr>
            <w:r>
              <w:rPr>
                <w:rFonts w:hint="eastAsia" w:ascii="Arial" w:hAnsi="宋体" w:cs="Arial"/>
                <w:sz w:val="18"/>
                <w:szCs w:val="18"/>
              </w:rPr>
              <w:t>性别</w:t>
            </w:r>
          </w:p>
        </w:tc>
        <w:tc>
          <w:tcPr>
            <w:tcW w:w="1762" w:type="dxa"/>
            <w:gridSpan w:val="2"/>
            <w:vAlign w:val="center"/>
          </w:tcPr>
          <w:p>
            <w:pPr>
              <w:spacing w:before="20" w:after="20"/>
              <w:jc w:val="center"/>
              <w:rPr>
                <w:rFonts w:ascii="Arial" w:hAnsi="宋体" w:cs="Arial"/>
                <w:sz w:val="18"/>
                <w:szCs w:val="18"/>
              </w:rPr>
            </w:pPr>
          </w:p>
        </w:tc>
        <w:tc>
          <w:tcPr>
            <w:tcW w:w="1118" w:type="dxa"/>
            <w:gridSpan w:val="3"/>
            <w:vAlign w:val="center"/>
          </w:tcPr>
          <w:p>
            <w:pPr>
              <w:spacing w:before="20" w:after="20"/>
              <w:jc w:val="center"/>
              <w:rPr>
                <w:rFonts w:ascii="Arial" w:hAnsi="宋体" w:cs="Arial"/>
                <w:sz w:val="18"/>
                <w:szCs w:val="18"/>
              </w:rPr>
            </w:pPr>
            <w:r>
              <w:rPr>
                <w:rFonts w:hint="eastAsia" w:ascii="Arial" w:hAnsi="宋体" w:cs="Arial"/>
                <w:sz w:val="18"/>
                <w:szCs w:val="18"/>
              </w:rPr>
              <w:t>年龄</w:t>
            </w:r>
          </w:p>
        </w:tc>
        <w:tc>
          <w:tcPr>
            <w:tcW w:w="1548" w:type="dxa"/>
            <w:gridSpan w:val="2"/>
            <w:vAlign w:val="center"/>
          </w:tcPr>
          <w:p>
            <w:pPr>
              <w:spacing w:before="2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before="20" w:after="20"/>
              <w:jc w:val="center"/>
              <w:rPr>
                <w:rFonts w:ascii="Arial" w:hAnsi="宋体" w:cs="Arial"/>
                <w:sz w:val="18"/>
                <w:szCs w:val="18"/>
              </w:rPr>
            </w:pPr>
            <w:r>
              <w:rPr>
                <w:rFonts w:hint="eastAsia" w:ascii="Arial" w:hAnsi="宋体" w:cs="Arial"/>
                <w:sz w:val="18"/>
                <w:szCs w:val="18"/>
              </w:rPr>
              <w:t>职务</w:t>
            </w:r>
          </w:p>
        </w:tc>
        <w:tc>
          <w:tcPr>
            <w:tcW w:w="2340" w:type="dxa"/>
            <w:gridSpan w:val="4"/>
            <w:vAlign w:val="center"/>
          </w:tcPr>
          <w:p>
            <w:pPr>
              <w:spacing w:before="20" w:after="20"/>
              <w:jc w:val="center"/>
              <w:rPr>
                <w:rFonts w:ascii="Arial" w:hAnsi="宋体" w:cs="Arial"/>
                <w:sz w:val="18"/>
                <w:szCs w:val="18"/>
              </w:rPr>
            </w:pPr>
          </w:p>
        </w:tc>
        <w:tc>
          <w:tcPr>
            <w:tcW w:w="1080" w:type="dxa"/>
            <w:vAlign w:val="center"/>
          </w:tcPr>
          <w:p>
            <w:pPr>
              <w:spacing w:before="20" w:after="20"/>
              <w:jc w:val="center"/>
              <w:rPr>
                <w:rFonts w:ascii="Arial" w:hAnsi="宋体" w:cs="Arial"/>
                <w:sz w:val="18"/>
                <w:szCs w:val="18"/>
              </w:rPr>
            </w:pPr>
            <w:r>
              <w:rPr>
                <w:rFonts w:hint="eastAsia" w:ascii="Arial" w:hAnsi="宋体" w:cs="Arial"/>
                <w:sz w:val="18"/>
                <w:szCs w:val="18"/>
              </w:rPr>
              <w:t>职称</w:t>
            </w:r>
          </w:p>
        </w:tc>
        <w:tc>
          <w:tcPr>
            <w:tcW w:w="1762" w:type="dxa"/>
            <w:gridSpan w:val="2"/>
            <w:vAlign w:val="center"/>
          </w:tcPr>
          <w:p>
            <w:pPr>
              <w:spacing w:before="20" w:after="20"/>
              <w:jc w:val="center"/>
              <w:rPr>
                <w:rFonts w:ascii="Arial" w:hAnsi="宋体" w:cs="Arial"/>
                <w:sz w:val="18"/>
                <w:szCs w:val="18"/>
              </w:rPr>
            </w:pPr>
          </w:p>
        </w:tc>
        <w:tc>
          <w:tcPr>
            <w:tcW w:w="1118" w:type="dxa"/>
            <w:gridSpan w:val="3"/>
            <w:vAlign w:val="center"/>
          </w:tcPr>
          <w:p>
            <w:pPr>
              <w:spacing w:before="20" w:after="20"/>
              <w:jc w:val="center"/>
              <w:rPr>
                <w:rFonts w:ascii="Arial" w:hAnsi="宋体" w:cs="Arial"/>
                <w:sz w:val="18"/>
                <w:szCs w:val="18"/>
              </w:rPr>
            </w:pPr>
            <w:r>
              <w:rPr>
                <w:rFonts w:hint="eastAsia" w:ascii="Arial" w:hAnsi="宋体" w:cs="Arial"/>
                <w:sz w:val="18"/>
                <w:szCs w:val="18"/>
              </w:rPr>
              <w:t>学历</w:t>
            </w:r>
          </w:p>
        </w:tc>
        <w:tc>
          <w:tcPr>
            <w:tcW w:w="1548" w:type="dxa"/>
            <w:gridSpan w:val="2"/>
            <w:vAlign w:val="center"/>
          </w:tcPr>
          <w:p>
            <w:pPr>
              <w:spacing w:before="2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2" w:type="dxa"/>
            <w:gridSpan w:val="3"/>
            <w:vAlign w:val="center"/>
          </w:tcPr>
          <w:p>
            <w:pPr>
              <w:spacing w:before="20" w:after="20"/>
              <w:jc w:val="center"/>
              <w:rPr>
                <w:rFonts w:ascii="Arial" w:hAnsi="宋体" w:cs="Arial"/>
                <w:sz w:val="18"/>
                <w:szCs w:val="18"/>
              </w:rPr>
            </w:pPr>
            <w:r>
              <w:rPr>
                <w:rFonts w:hint="eastAsia" w:ascii="Arial" w:hAnsi="宋体" w:cs="Arial"/>
                <w:sz w:val="18"/>
                <w:szCs w:val="18"/>
              </w:rPr>
              <w:t>参加工作时间</w:t>
            </w:r>
          </w:p>
        </w:tc>
        <w:tc>
          <w:tcPr>
            <w:tcW w:w="2554" w:type="dxa"/>
            <w:gridSpan w:val="4"/>
            <w:vAlign w:val="center"/>
          </w:tcPr>
          <w:p>
            <w:pPr>
              <w:spacing w:before="20" w:after="20"/>
              <w:jc w:val="center"/>
              <w:rPr>
                <w:rFonts w:ascii="Arial" w:hAnsi="宋体" w:cs="Arial"/>
                <w:sz w:val="18"/>
                <w:szCs w:val="18"/>
              </w:rPr>
            </w:pPr>
          </w:p>
        </w:tc>
        <w:tc>
          <w:tcPr>
            <w:tcW w:w="2486" w:type="dxa"/>
            <w:gridSpan w:val="3"/>
            <w:vAlign w:val="center"/>
          </w:tcPr>
          <w:p>
            <w:pPr>
              <w:spacing w:before="20" w:after="20"/>
              <w:jc w:val="center"/>
              <w:rPr>
                <w:rFonts w:ascii="Arial" w:hAnsi="宋体" w:cs="Arial"/>
                <w:sz w:val="18"/>
                <w:szCs w:val="18"/>
              </w:rPr>
            </w:pPr>
            <w:r>
              <w:rPr>
                <w:rFonts w:hint="eastAsia" w:ascii="Arial" w:hAnsi="宋体" w:cs="Arial"/>
                <w:sz w:val="18"/>
                <w:szCs w:val="18"/>
              </w:rPr>
              <w:t>从事项目经理/项目负责人年限</w:t>
            </w:r>
          </w:p>
        </w:tc>
        <w:tc>
          <w:tcPr>
            <w:tcW w:w="1728" w:type="dxa"/>
            <w:gridSpan w:val="3"/>
            <w:vAlign w:val="center"/>
          </w:tcPr>
          <w:p>
            <w:pPr>
              <w:spacing w:before="2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2" w:type="dxa"/>
            <w:gridSpan w:val="5"/>
            <w:vAlign w:val="center"/>
          </w:tcPr>
          <w:p>
            <w:pPr>
              <w:spacing w:before="20" w:after="20"/>
              <w:jc w:val="center"/>
              <w:rPr>
                <w:rFonts w:ascii="Arial" w:hAnsi="宋体" w:cs="Arial"/>
                <w:sz w:val="18"/>
                <w:szCs w:val="18"/>
              </w:rPr>
            </w:pPr>
            <w:r>
              <w:rPr>
                <w:rFonts w:hint="eastAsia" w:ascii="Arial" w:hAnsi="宋体" w:cs="Arial"/>
                <w:sz w:val="18"/>
                <w:szCs w:val="18"/>
              </w:rPr>
              <w:t>资格证书编号</w:t>
            </w:r>
          </w:p>
        </w:tc>
        <w:tc>
          <w:tcPr>
            <w:tcW w:w="5508" w:type="dxa"/>
            <w:gridSpan w:val="8"/>
            <w:vAlign w:val="center"/>
          </w:tcPr>
          <w:p>
            <w:pPr>
              <w:spacing w:before="2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13"/>
            <w:vAlign w:val="center"/>
          </w:tcPr>
          <w:p>
            <w:pPr>
              <w:spacing w:before="20" w:after="20"/>
              <w:jc w:val="center"/>
              <w:rPr>
                <w:rFonts w:ascii="Arial" w:hAnsi="宋体" w:cs="Arial"/>
                <w:sz w:val="18"/>
                <w:szCs w:val="18"/>
              </w:rPr>
            </w:pPr>
            <w:r>
              <w:rPr>
                <w:rFonts w:hint="eastAsia" w:ascii="Arial" w:hAnsi="宋体" w:cs="Arial"/>
                <w:sz w:val="18"/>
                <w:szCs w:val="18"/>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Arial" w:hAnsi="宋体" w:cs="Arial"/>
                <w:sz w:val="18"/>
                <w:szCs w:val="18"/>
              </w:rPr>
            </w:pPr>
            <w:r>
              <w:rPr>
                <w:rFonts w:hint="eastAsia" w:ascii="Arial" w:hAnsi="宋体" w:cs="Arial"/>
                <w:sz w:val="18"/>
                <w:szCs w:val="18"/>
              </w:rPr>
              <w:t>单位</w:t>
            </w:r>
          </w:p>
        </w:tc>
        <w:tc>
          <w:tcPr>
            <w:tcW w:w="1783" w:type="dxa"/>
            <w:gridSpan w:val="2"/>
            <w:vAlign w:val="center"/>
          </w:tcPr>
          <w:p>
            <w:pPr>
              <w:spacing w:before="20" w:after="20"/>
              <w:jc w:val="center"/>
              <w:rPr>
                <w:rFonts w:ascii="Arial" w:hAnsi="宋体" w:cs="Arial"/>
                <w:sz w:val="18"/>
                <w:szCs w:val="18"/>
              </w:rPr>
            </w:pPr>
            <w:r>
              <w:rPr>
                <w:rFonts w:hint="eastAsia" w:ascii="Arial" w:hAnsi="宋体" w:cs="Arial"/>
                <w:sz w:val="18"/>
                <w:szCs w:val="18"/>
              </w:rPr>
              <w:t>项目名称</w:t>
            </w:r>
          </w:p>
        </w:tc>
        <w:tc>
          <w:tcPr>
            <w:tcW w:w="1491" w:type="dxa"/>
            <w:gridSpan w:val="3"/>
            <w:vAlign w:val="center"/>
          </w:tcPr>
          <w:p>
            <w:pPr>
              <w:spacing w:before="20" w:after="20"/>
              <w:jc w:val="center"/>
              <w:rPr>
                <w:rFonts w:ascii="Arial" w:hAnsi="宋体" w:cs="Arial"/>
                <w:sz w:val="18"/>
                <w:szCs w:val="18"/>
              </w:rPr>
            </w:pPr>
            <w:r>
              <w:rPr>
                <w:rFonts w:hint="eastAsia" w:ascii="Arial" w:hAnsi="宋体" w:cs="Arial"/>
                <w:sz w:val="18"/>
                <w:szCs w:val="18"/>
              </w:rPr>
              <w:t>规模/级别</w:t>
            </w:r>
          </w:p>
        </w:tc>
        <w:tc>
          <w:tcPr>
            <w:tcW w:w="1766" w:type="dxa"/>
            <w:gridSpan w:val="2"/>
            <w:vAlign w:val="center"/>
          </w:tcPr>
          <w:p>
            <w:pPr>
              <w:spacing w:before="20" w:after="20"/>
              <w:jc w:val="center"/>
              <w:rPr>
                <w:rFonts w:ascii="Arial" w:hAnsi="宋体" w:cs="Arial"/>
                <w:sz w:val="18"/>
                <w:szCs w:val="18"/>
              </w:rPr>
            </w:pPr>
            <w:r>
              <w:rPr>
                <w:rFonts w:hint="eastAsia" w:ascii="Arial" w:hAnsi="宋体" w:cs="Arial"/>
                <w:sz w:val="18"/>
                <w:szCs w:val="18"/>
              </w:rPr>
              <w:t>项目开始和完成期</w:t>
            </w:r>
          </w:p>
        </w:tc>
        <w:tc>
          <w:tcPr>
            <w:tcW w:w="1368" w:type="dxa"/>
            <w:gridSpan w:val="3"/>
            <w:vAlign w:val="center"/>
          </w:tcPr>
          <w:p>
            <w:pPr>
              <w:spacing w:before="20" w:after="20"/>
              <w:jc w:val="center"/>
              <w:rPr>
                <w:rFonts w:ascii="Arial" w:hAnsi="宋体" w:cs="Arial"/>
                <w:sz w:val="18"/>
                <w:szCs w:val="18"/>
              </w:rPr>
            </w:pPr>
            <w:r>
              <w:rPr>
                <w:rFonts w:hint="eastAsia" w:ascii="Arial" w:hAnsi="宋体" w:cs="Arial"/>
                <w:sz w:val="18"/>
                <w:szCs w:val="18"/>
              </w:rPr>
              <w:t>状态（在建或已完）</w:t>
            </w:r>
          </w:p>
        </w:tc>
        <w:tc>
          <w:tcPr>
            <w:tcW w:w="1080" w:type="dxa"/>
            <w:vAlign w:val="center"/>
          </w:tcPr>
          <w:p>
            <w:pPr>
              <w:spacing w:before="20" w:after="20"/>
              <w:jc w:val="center"/>
              <w:rPr>
                <w:rFonts w:ascii="Arial" w:hAnsi="宋体" w:cs="Arial"/>
                <w:sz w:val="18"/>
                <w:szCs w:val="18"/>
              </w:rPr>
            </w:pPr>
            <w:r>
              <w:rPr>
                <w:rFonts w:hint="eastAsia" w:ascii="Arial"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Arial" w:hAnsi="宋体" w:cs="Arial"/>
                <w:sz w:val="18"/>
                <w:szCs w:val="18"/>
              </w:rPr>
            </w:pPr>
          </w:p>
        </w:tc>
        <w:tc>
          <w:tcPr>
            <w:tcW w:w="1783" w:type="dxa"/>
            <w:gridSpan w:val="2"/>
            <w:vAlign w:val="center"/>
          </w:tcPr>
          <w:p>
            <w:pPr>
              <w:spacing w:before="20" w:after="20"/>
              <w:jc w:val="center"/>
              <w:rPr>
                <w:rFonts w:ascii="Arial" w:hAnsi="宋体" w:cs="Arial"/>
                <w:sz w:val="18"/>
                <w:szCs w:val="18"/>
              </w:rPr>
            </w:pPr>
          </w:p>
        </w:tc>
        <w:tc>
          <w:tcPr>
            <w:tcW w:w="1491" w:type="dxa"/>
            <w:gridSpan w:val="3"/>
            <w:vAlign w:val="center"/>
          </w:tcPr>
          <w:p>
            <w:pPr>
              <w:spacing w:before="20" w:after="20"/>
              <w:jc w:val="center"/>
              <w:rPr>
                <w:rFonts w:ascii="Arial" w:hAnsi="宋体" w:cs="Arial"/>
                <w:sz w:val="18"/>
                <w:szCs w:val="18"/>
              </w:rPr>
            </w:pPr>
          </w:p>
        </w:tc>
        <w:tc>
          <w:tcPr>
            <w:tcW w:w="1766" w:type="dxa"/>
            <w:gridSpan w:val="2"/>
            <w:vAlign w:val="center"/>
          </w:tcPr>
          <w:p>
            <w:pPr>
              <w:spacing w:before="20" w:after="20"/>
              <w:jc w:val="center"/>
              <w:rPr>
                <w:rFonts w:ascii="Arial" w:hAnsi="宋体" w:cs="Arial"/>
                <w:sz w:val="18"/>
                <w:szCs w:val="18"/>
              </w:rPr>
            </w:pPr>
          </w:p>
        </w:tc>
        <w:tc>
          <w:tcPr>
            <w:tcW w:w="1368" w:type="dxa"/>
            <w:gridSpan w:val="3"/>
            <w:vAlign w:val="center"/>
          </w:tcPr>
          <w:p>
            <w:pPr>
              <w:spacing w:before="20" w:after="20"/>
              <w:jc w:val="center"/>
              <w:rPr>
                <w:rFonts w:ascii="Arial" w:hAnsi="宋体" w:cs="Arial"/>
                <w:sz w:val="18"/>
                <w:szCs w:val="18"/>
              </w:rPr>
            </w:pPr>
          </w:p>
        </w:tc>
        <w:tc>
          <w:tcPr>
            <w:tcW w:w="1080" w:type="dxa"/>
            <w:vAlign w:val="center"/>
          </w:tcPr>
          <w:p>
            <w:pPr>
              <w:spacing w:before="20" w:after="20"/>
              <w:jc w:val="center"/>
              <w:rPr>
                <w:rFonts w:ascii="Arial" w:hAnsi="宋体" w:cs="Arial"/>
                <w:sz w:val="18"/>
                <w:szCs w:val="18"/>
              </w:rPr>
            </w:pPr>
          </w:p>
        </w:tc>
      </w:tr>
    </w:tbl>
    <w:p>
      <w:pPr>
        <w:spacing w:after="60"/>
        <w:jc w:val="center"/>
        <w:rPr>
          <w:rFonts w:ascii="Arial" w:hAnsi="Arial" w:eastAsia="黑体" w:cs="Arial"/>
          <w:bCs/>
          <w:sz w:val="24"/>
        </w:rPr>
      </w:pPr>
    </w:p>
    <w:p>
      <w:pPr>
        <w:spacing w:after="60"/>
        <w:jc w:val="center"/>
        <w:rPr>
          <w:rFonts w:ascii="Arial" w:hAnsi="Arial" w:eastAsia="黑体" w:cs="Arial"/>
          <w:bCs/>
          <w:sz w:val="24"/>
        </w:rPr>
      </w:pPr>
    </w:p>
    <w:p>
      <w:pPr>
        <w:spacing w:after="60"/>
        <w:jc w:val="center"/>
        <w:rPr>
          <w:rFonts w:ascii="Arial" w:hAnsi="Arial" w:eastAsia="黑体" w:cs="Arial"/>
          <w:bCs/>
          <w:sz w:val="24"/>
        </w:rPr>
      </w:pPr>
      <w:r>
        <w:rPr>
          <w:rFonts w:hint="eastAsia" w:ascii="Arial" w:hAnsi="Arial" w:eastAsia="黑体" w:cs="Arial"/>
          <w:bCs/>
          <w:sz w:val="24"/>
        </w:rPr>
        <w:t>表3  项目管理班子配备情况辅助说明资料</w:t>
      </w:r>
    </w:p>
    <w:tbl>
      <w:tblPr>
        <w:tblStyle w:val="43"/>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360" w:type="dxa"/>
          </w:tcPr>
          <w:p>
            <w:pPr>
              <w:spacing w:line="360" w:lineRule="auto"/>
              <w:rPr>
                <w:b/>
                <w:bCs/>
              </w:rPr>
            </w:pPr>
          </w:p>
        </w:tc>
      </w:tr>
    </w:tbl>
    <w:p>
      <w:pPr>
        <w:rPr>
          <w:rFonts w:eastAsia="楷体_GB2312"/>
          <w:b/>
          <w:bCs/>
        </w:rPr>
      </w:pPr>
      <w:r>
        <w:rPr>
          <w:rFonts w:hint="eastAsia"/>
          <w:b/>
          <w:bCs/>
        </w:rPr>
        <w:t>注：</w:t>
      </w:r>
      <w:r>
        <w:rPr>
          <w:rFonts w:hint="eastAsia"/>
          <w:bCs/>
        </w:rPr>
        <w:t>辅助说明资料主要包括管理班子机构设置、职责分工、有关复印证明资料以及投标人认为有必要提供的资料，辅助说明资料格式不做统一规定，由投标人自行设计</w:t>
      </w:r>
      <w:r>
        <w:rPr>
          <w:rFonts w:hint="eastAsia" w:eastAsia="楷体_GB2312"/>
          <w:bCs/>
        </w:rPr>
        <w:t>。</w:t>
      </w:r>
    </w:p>
    <w:p>
      <w:pPr>
        <w:spacing w:after="60"/>
        <w:ind w:firstLine="413" w:firstLineChars="196"/>
        <w:rPr>
          <w:rFonts w:ascii="Arial" w:hAnsi="Arial" w:eastAsia="黑体" w:cs="Arial"/>
          <w:bCs/>
          <w:sz w:val="24"/>
        </w:rPr>
      </w:pPr>
      <w:r>
        <w:rPr>
          <w:rFonts w:hint="eastAsia" w:ascii="宋体" w:hAnsi="宋体" w:cs="Arial"/>
          <w:b/>
          <w:bCs/>
          <w:szCs w:val="21"/>
        </w:rPr>
        <w:t>附上证书复印件</w:t>
      </w:r>
    </w:p>
    <w:p>
      <w:pPr>
        <w:spacing w:line="360" w:lineRule="auto"/>
        <w:rPr>
          <w:rFonts w:ascii="宋体" w:hAnsi="宋体" w:cs="Arial"/>
          <w:bCs/>
          <w:szCs w:val="21"/>
        </w:rPr>
      </w:pPr>
    </w:p>
    <w:p>
      <w:pPr>
        <w:spacing w:line="360" w:lineRule="auto"/>
        <w:rPr>
          <w:rFonts w:ascii="宋体" w:hAnsi="宋体"/>
          <w:szCs w:val="21"/>
        </w:rPr>
      </w:pPr>
      <w:r>
        <w:rPr>
          <w:rFonts w:ascii="宋体" w:hAnsi="宋体" w:cs="Arial"/>
          <w:bCs/>
          <w:szCs w:val="21"/>
        </w:rPr>
        <w:t>2.项目组织</w:t>
      </w:r>
      <w:r>
        <w:rPr>
          <w:rFonts w:hint="eastAsia" w:ascii="宋体" w:hAnsi="宋体"/>
          <w:szCs w:val="21"/>
        </w:rPr>
        <w:t>实施方案</w:t>
      </w:r>
    </w:p>
    <w:p>
      <w:pPr>
        <w:ind w:firstLine="420" w:firstLineChars="200"/>
        <w:rPr>
          <w:rFonts w:ascii="宋体" w:hAnsi="宋体" w:cs="Arial"/>
          <w:bCs/>
          <w:szCs w:val="21"/>
        </w:rPr>
      </w:pPr>
      <w:r>
        <w:rPr>
          <w:rFonts w:hint="eastAsia" w:ascii="宋体" w:hAnsi="宋体" w:cs="Arial"/>
          <w:bCs/>
          <w:szCs w:val="21"/>
        </w:rPr>
        <w:t>主要内容应包括（可根据项目实际情况适当调整内容）</w:t>
      </w:r>
    </w:p>
    <w:p>
      <w:pPr>
        <w:pStyle w:val="287"/>
        <w:numPr>
          <w:ilvl w:val="0"/>
          <w:numId w:val="12"/>
        </w:numPr>
        <w:spacing w:line="360" w:lineRule="auto"/>
        <w:ind w:firstLineChars="0"/>
        <w:rPr>
          <w:rFonts w:ascii="宋体" w:hAnsi="宋体" w:cs="宋体"/>
          <w:szCs w:val="21"/>
        </w:rPr>
      </w:pPr>
      <w:r>
        <w:rPr>
          <w:rFonts w:hint="eastAsia" w:ascii="宋体" w:hAnsi="宋体" w:cs="宋体"/>
          <w:szCs w:val="21"/>
        </w:rPr>
        <w:t>实施方案评价</w:t>
      </w:r>
    </w:p>
    <w:p>
      <w:pPr>
        <w:pStyle w:val="287"/>
        <w:numPr>
          <w:ilvl w:val="0"/>
          <w:numId w:val="12"/>
        </w:numPr>
        <w:spacing w:line="360" w:lineRule="auto"/>
        <w:ind w:firstLineChars="0"/>
        <w:rPr>
          <w:rFonts w:ascii="宋体" w:hAnsi="宋体" w:cs="宋体"/>
          <w:szCs w:val="21"/>
        </w:rPr>
      </w:pPr>
      <w:r>
        <w:rPr>
          <w:rFonts w:hint="eastAsia" w:ascii="宋体" w:hAnsi="宋体" w:cs="宋体"/>
          <w:szCs w:val="21"/>
        </w:rPr>
        <w:t>应急方案</w:t>
      </w:r>
    </w:p>
    <w:p>
      <w:pPr>
        <w:spacing w:line="360" w:lineRule="auto"/>
        <w:rPr>
          <w:rFonts w:ascii="宋体" w:hAnsi="宋体" w:cs="Arial"/>
          <w:bCs/>
          <w:sz w:val="24"/>
        </w:rPr>
      </w:pPr>
    </w:p>
    <w:p>
      <w:pPr>
        <w:pStyle w:val="6"/>
        <w:spacing w:before="120" w:after="120"/>
        <w:jc w:val="center"/>
        <w:rPr>
          <w:rFonts w:ascii="宋体" w:hAnsi="宋体" w:cs="Arial"/>
          <w:bCs w:val="0"/>
          <w:sz w:val="24"/>
        </w:rPr>
      </w:pPr>
      <w:bookmarkStart w:id="281" w:name="_Toc19815"/>
      <w:r>
        <w:rPr>
          <w:rFonts w:hint="eastAsia" w:ascii="黑体"/>
          <w:sz w:val="28"/>
          <w:szCs w:val="28"/>
        </w:rPr>
        <w:t>十、服务条款偏离表</w:t>
      </w:r>
      <w:bookmarkEnd w:id="281"/>
    </w:p>
    <w:p>
      <w:pPr>
        <w:spacing w:line="360" w:lineRule="auto"/>
        <w:rPr>
          <w:rFonts w:ascii="宋体" w:hAnsi="宋体" w:cs="Arial"/>
          <w:bCs/>
          <w:szCs w:val="21"/>
        </w:rPr>
      </w:pPr>
    </w:p>
    <w:p>
      <w:pPr>
        <w:spacing w:line="360" w:lineRule="auto"/>
        <w:rPr>
          <w:rFonts w:ascii="宋体" w:hAnsi="宋体" w:cs="Arial"/>
          <w:bCs/>
          <w:szCs w:val="21"/>
        </w:rPr>
      </w:pPr>
      <w:r>
        <w:rPr>
          <w:rFonts w:hint="eastAsia" w:ascii="宋体" w:hAnsi="宋体" w:cs="Arial"/>
          <w:bCs/>
          <w:szCs w:val="21"/>
        </w:rPr>
        <w:t>投标人名称：                                       项目编号：</w:t>
      </w:r>
    </w:p>
    <w:tbl>
      <w:tblPr>
        <w:tblStyle w:val="43"/>
        <w:tblW w:w="8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065"/>
        <w:gridCol w:w="1378"/>
        <w:gridCol w:w="596"/>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序号</w:t>
            </w:r>
          </w:p>
        </w:tc>
        <w:tc>
          <w:tcPr>
            <w:tcW w:w="5065" w:type="dxa"/>
            <w:tcBorders>
              <w:top w:val="single" w:color="auto" w:sz="4" w:space="0"/>
              <w:left w:val="nil"/>
              <w:bottom w:val="single" w:color="auto" w:sz="4" w:space="0"/>
              <w:right w:val="single" w:color="auto" w:sz="4" w:space="0"/>
            </w:tcBorders>
            <w:vAlign w:val="center"/>
          </w:tcPr>
          <w:p>
            <w:pPr>
              <w:spacing w:line="240" w:lineRule="exact"/>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招标文件服务条款</w:t>
            </w:r>
          </w:p>
        </w:tc>
        <w:tc>
          <w:tcPr>
            <w:tcW w:w="1378" w:type="dxa"/>
            <w:tcBorders>
              <w:top w:val="single" w:color="auto" w:sz="4" w:space="0"/>
              <w:left w:val="nil"/>
              <w:bottom w:val="single" w:color="auto" w:sz="4" w:space="0"/>
              <w:right w:val="single" w:color="auto" w:sz="4" w:space="0"/>
            </w:tcBorders>
            <w:vAlign w:val="center"/>
          </w:tcPr>
          <w:p>
            <w:pPr>
              <w:spacing w:line="240" w:lineRule="exact"/>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投标文件服务条款</w:t>
            </w:r>
          </w:p>
        </w:tc>
        <w:tc>
          <w:tcPr>
            <w:tcW w:w="596" w:type="dxa"/>
            <w:tcBorders>
              <w:top w:val="single" w:color="auto" w:sz="4" w:space="0"/>
              <w:left w:val="nil"/>
              <w:bottom w:val="single" w:color="auto" w:sz="4" w:space="0"/>
              <w:right w:val="single" w:color="auto" w:sz="4" w:space="0"/>
            </w:tcBorders>
            <w:vAlign w:val="center"/>
          </w:tcPr>
          <w:p>
            <w:pPr>
              <w:spacing w:line="240" w:lineRule="exact"/>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偏离情况</w:t>
            </w:r>
          </w:p>
        </w:tc>
        <w:tc>
          <w:tcPr>
            <w:tcW w:w="474" w:type="dxa"/>
            <w:tcBorders>
              <w:top w:val="single" w:color="auto" w:sz="4" w:space="0"/>
              <w:left w:val="nil"/>
              <w:bottom w:val="single" w:color="auto" w:sz="4" w:space="0"/>
              <w:right w:val="single" w:color="auto" w:sz="4" w:space="0"/>
            </w:tcBorders>
            <w:vAlign w:val="center"/>
          </w:tcPr>
          <w:p>
            <w:pPr>
              <w:spacing w:line="240" w:lineRule="exact"/>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1</w:t>
            </w:r>
          </w:p>
        </w:tc>
        <w:tc>
          <w:tcPr>
            <w:tcW w:w="5065" w:type="dxa"/>
            <w:tcBorders>
              <w:top w:val="single" w:color="auto" w:sz="4" w:space="0"/>
              <w:left w:val="nil"/>
              <w:bottom w:val="single" w:color="auto" w:sz="4" w:space="0"/>
              <w:right w:val="single" w:color="auto" w:sz="4" w:space="0"/>
            </w:tcBorders>
          </w:tcPr>
          <w:p>
            <w:pPr>
              <w:pStyle w:val="2"/>
              <w:spacing w:line="360" w:lineRule="auto"/>
              <w:ind w:left="0" w:leftChars="0" w:firstLine="0" w:firstLineChars="0"/>
              <w:outlineLvl w:val="1"/>
              <w:rPr>
                <w:rFonts w:ascii="宋体" w:hAnsi="宋体" w:cs="宋体"/>
                <w:b/>
                <w:szCs w:val="21"/>
              </w:rPr>
            </w:pPr>
            <w:bookmarkStart w:id="282" w:name="_Toc29298"/>
            <w:r>
              <w:rPr>
                <w:rFonts w:hint="eastAsia" w:ascii="宋体" w:hAnsi="宋体" w:cs="宋体"/>
                <w:b/>
                <w:szCs w:val="21"/>
              </w:rPr>
              <w:t>（一）</w:t>
            </w:r>
            <w:r>
              <w:rPr>
                <w:rFonts w:hint="eastAsia" w:ascii="宋体" w:hAnsi="宋体" w:cs="宋体"/>
                <w:b/>
                <w:kern w:val="0"/>
                <w:szCs w:val="21"/>
              </w:rPr>
              <w:t>服务人员要求</w:t>
            </w:r>
            <w:bookmarkEnd w:id="282"/>
          </w:p>
          <w:p>
            <w:pPr>
              <w:spacing w:line="360" w:lineRule="auto"/>
              <w:rPr>
                <w:rFonts w:ascii="宋体" w:hAnsi="宋体" w:cs="宋体"/>
                <w:kern w:val="0"/>
                <w:szCs w:val="21"/>
              </w:rPr>
            </w:pPr>
            <w:r>
              <w:rPr>
                <w:rFonts w:hint="eastAsia" w:ascii="宋体" w:hAnsi="宋体" w:cs="宋体"/>
                <w:kern w:val="0"/>
                <w:szCs w:val="21"/>
              </w:rPr>
              <w:t>1、提供3名专业保安员需持有保安员证上岗；</w:t>
            </w:r>
          </w:p>
          <w:p>
            <w:pPr>
              <w:spacing w:line="360" w:lineRule="auto"/>
              <w:ind w:left="720" w:hanging="1287"/>
              <w:rPr>
                <w:rFonts w:ascii="宋体" w:hAnsi="宋体" w:cs="宋体"/>
                <w:kern w:val="0"/>
                <w:szCs w:val="21"/>
              </w:rPr>
            </w:pPr>
            <w:r>
              <w:rPr>
                <w:rFonts w:hint="eastAsia" w:ascii="宋体" w:hAnsi="宋体" w:cs="宋体"/>
                <w:kern w:val="0"/>
                <w:szCs w:val="21"/>
              </w:rPr>
              <w:t xml:space="preserve">     2、必须保证安保人员的到勤率；</w:t>
            </w:r>
          </w:p>
          <w:p>
            <w:pPr>
              <w:tabs>
                <w:tab w:val="left" w:pos="1440"/>
              </w:tabs>
              <w:spacing w:line="360" w:lineRule="auto"/>
              <w:ind w:left="720" w:hanging="1287"/>
              <w:rPr>
                <w:rFonts w:ascii="宋体" w:hAnsi="宋体" w:cs="宋体"/>
                <w:szCs w:val="21"/>
              </w:rPr>
            </w:pPr>
            <w:r>
              <w:rPr>
                <w:rFonts w:hint="eastAsia" w:ascii="宋体" w:hAnsi="宋体" w:cs="宋体"/>
                <w:szCs w:val="21"/>
              </w:rPr>
              <w:t xml:space="preserve">     3、依据项目管理服务的特点，构建精简、高效、专业、合理的管理和组织架构；</w:t>
            </w:r>
          </w:p>
          <w:p>
            <w:pPr>
              <w:tabs>
                <w:tab w:val="left" w:pos="1440"/>
              </w:tabs>
              <w:spacing w:line="360" w:lineRule="auto"/>
              <w:rPr>
                <w:rFonts w:ascii="宋体" w:hAnsi="宋体" w:cs="宋体"/>
                <w:szCs w:val="21"/>
              </w:rPr>
            </w:pPr>
            <w:r>
              <w:rPr>
                <w:rFonts w:hint="eastAsia" w:ascii="宋体" w:hAnsi="宋体" w:cs="宋体"/>
                <w:szCs w:val="21"/>
              </w:rPr>
              <w:t xml:space="preserve">4、依据精干、高效、一专多能、忠于职守的原则配备人员，并结合项目特点，编制员工行为规范和操作性强的服务方案； </w:t>
            </w:r>
          </w:p>
          <w:p>
            <w:pPr>
              <w:tabs>
                <w:tab w:val="left" w:pos="1440"/>
              </w:tabs>
              <w:spacing w:line="360" w:lineRule="auto"/>
              <w:rPr>
                <w:rFonts w:ascii="宋体" w:hAnsi="宋体" w:cs="宋体"/>
                <w:szCs w:val="21"/>
              </w:rPr>
            </w:pPr>
            <w:r>
              <w:rPr>
                <w:rFonts w:hint="eastAsia" w:ascii="宋体" w:hAnsi="宋体" w:cs="宋体"/>
                <w:szCs w:val="21"/>
              </w:rPr>
              <w:t>5、安保人员应经常性培训，包括进驻前培训、过程培训、技术培训、专业演练、法规知识培训等。每月整建制集中理论学习不少于4 小时；规范化执勤、消防灭火、防暴训练等不少于4 小时，并列入安保队伍考核；</w:t>
            </w:r>
          </w:p>
          <w:p>
            <w:pPr>
              <w:spacing w:line="360" w:lineRule="auto"/>
              <w:rPr>
                <w:rFonts w:ascii="宋体" w:hAnsi="宋体" w:cs="宋体"/>
                <w:szCs w:val="21"/>
              </w:rPr>
            </w:pPr>
            <w:r>
              <w:rPr>
                <w:rFonts w:hint="eastAsia" w:ascii="宋体" w:hAnsi="宋体" w:cs="宋体"/>
                <w:szCs w:val="21"/>
              </w:rPr>
              <w:t>6、安保队员：身体健康，五官端正，无纹身。男性：身高173CM以上，40周岁以下；具有高中以上文化水平，无违法犯罪记录，退伍军人优先。</w:t>
            </w:r>
          </w:p>
        </w:tc>
        <w:tc>
          <w:tcPr>
            <w:tcW w:w="1378"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c>
          <w:tcPr>
            <w:tcW w:w="596"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c>
          <w:tcPr>
            <w:tcW w:w="474"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2</w:t>
            </w:r>
          </w:p>
        </w:tc>
        <w:tc>
          <w:tcPr>
            <w:tcW w:w="5065" w:type="dxa"/>
            <w:tcBorders>
              <w:top w:val="single" w:color="auto" w:sz="4" w:space="0"/>
              <w:left w:val="nil"/>
              <w:bottom w:val="single" w:color="auto" w:sz="4" w:space="0"/>
              <w:right w:val="single" w:color="auto" w:sz="4" w:space="0"/>
            </w:tcBorders>
          </w:tcPr>
          <w:p>
            <w:pPr>
              <w:spacing w:line="360" w:lineRule="auto"/>
              <w:jc w:val="left"/>
              <w:textAlignment w:val="baseline"/>
              <w:outlineLvl w:val="1"/>
              <w:rPr>
                <w:rFonts w:ascii="宋体" w:hAnsi="宋体" w:cs="宋体"/>
                <w:b/>
                <w:szCs w:val="21"/>
              </w:rPr>
            </w:pPr>
            <w:bookmarkStart w:id="283" w:name="_Toc17662"/>
            <w:r>
              <w:rPr>
                <w:rFonts w:hint="eastAsia" w:ascii="宋体" w:hAnsi="宋体" w:cs="宋体"/>
                <w:b/>
                <w:szCs w:val="21"/>
              </w:rPr>
              <w:t>（二）工作质量要求</w:t>
            </w:r>
            <w:bookmarkEnd w:id="283"/>
          </w:p>
          <w:p>
            <w:pPr>
              <w:tabs>
                <w:tab w:val="left" w:pos="1440"/>
              </w:tabs>
              <w:spacing w:line="360" w:lineRule="auto"/>
              <w:rPr>
                <w:rFonts w:ascii="宋体" w:hAnsi="宋体" w:cs="宋体"/>
                <w:szCs w:val="21"/>
              </w:rPr>
            </w:pPr>
            <w:r>
              <w:rPr>
                <w:rFonts w:hint="eastAsia" w:ascii="宋体" w:hAnsi="宋体" w:cs="宋体"/>
                <w:szCs w:val="21"/>
              </w:rPr>
              <w:t>1、安全保卫工作和维持办公秩序的整体设想和应急预案应完备、实用；</w:t>
            </w:r>
          </w:p>
          <w:p>
            <w:pPr>
              <w:tabs>
                <w:tab w:val="left" w:pos="1440"/>
              </w:tabs>
              <w:spacing w:line="360" w:lineRule="auto"/>
              <w:rPr>
                <w:rFonts w:ascii="宋体" w:hAnsi="宋体" w:cs="宋体"/>
                <w:szCs w:val="21"/>
              </w:rPr>
            </w:pPr>
            <w:r>
              <w:rPr>
                <w:rFonts w:hint="eastAsia" w:ascii="宋体" w:hAnsi="宋体" w:cs="宋体"/>
                <w:szCs w:val="21"/>
              </w:rPr>
              <w:t>2、管理服务中突击性工作与长效管理相结合且有计划性；</w:t>
            </w:r>
          </w:p>
          <w:p>
            <w:pPr>
              <w:spacing w:line="360" w:lineRule="auto"/>
              <w:rPr>
                <w:rFonts w:ascii="宋体" w:hAnsi="宋体" w:cs="宋体"/>
                <w:szCs w:val="21"/>
              </w:rPr>
            </w:pPr>
            <w:r>
              <w:rPr>
                <w:rFonts w:hint="eastAsia" w:ascii="宋体" w:hAnsi="宋体" w:cs="宋体"/>
                <w:szCs w:val="21"/>
              </w:rPr>
              <w:t>3、管理服务质量目标需满足与国际接轨的要求，满足本招标文件规定的标准。并且能够在管理中随时经受行业主管部门的质量审核；</w:t>
            </w:r>
          </w:p>
          <w:p>
            <w:pPr>
              <w:spacing w:line="360" w:lineRule="auto"/>
              <w:textAlignment w:val="baseline"/>
              <w:rPr>
                <w:rFonts w:ascii="宋体" w:hAnsi="宋体" w:cs="宋体"/>
                <w:szCs w:val="21"/>
              </w:rPr>
            </w:pPr>
            <w:r>
              <w:rPr>
                <w:rFonts w:hint="eastAsia" w:ascii="宋体" w:hAnsi="宋体" w:cs="宋体"/>
                <w:szCs w:val="21"/>
              </w:rPr>
              <w:t>4、依照合同提供防范性安全服务，维护采购单位的安全和秩序，防止守护目标受到不法侵害或灾害事故的损害，有效避免服务提供方或安保秩序人员责任造成经济损失，满足采购单位安全需求。</w:t>
            </w:r>
          </w:p>
        </w:tc>
        <w:tc>
          <w:tcPr>
            <w:tcW w:w="1378"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c>
          <w:tcPr>
            <w:tcW w:w="596"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c>
          <w:tcPr>
            <w:tcW w:w="474"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3</w:t>
            </w:r>
          </w:p>
        </w:tc>
        <w:tc>
          <w:tcPr>
            <w:tcW w:w="5065" w:type="dxa"/>
            <w:tcBorders>
              <w:top w:val="single" w:color="auto" w:sz="4" w:space="0"/>
              <w:left w:val="nil"/>
              <w:bottom w:val="single" w:color="auto" w:sz="4" w:space="0"/>
              <w:right w:val="single" w:color="auto" w:sz="4" w:space="0"/>
            </w:tcBorders>
          </w:tcPr>
          <w:p>
            <w:pPr>
              <w:spacing w:line="360" w:lineRule="auto"/>
              <w:textAlignment w:val="baseline"/>
              <w:outlineLvl w:val="1"/>
              <w:rPr>
                <w:rFonts w:ascii="宋体" w:hAnsi="宋体" w:cs="宋体"/>
                <w:b/>
                <w:szCs w:val="21"/>
              </w:rPr>
            </w:pPr>
            <w:bookmarkStart w:id="284" w:name="_Toc15751"/>
            <w:r>
              <w:rPr>
                <w:rFonts w:hint="eastAsia" w:ascii="宋体" w:hAnsi="宋体" w:cs="宋体"/>
                <w:b/>
                <w:szCs w:val="21"/>
              </w:rPr>
              <w:t>（三）服务成果要求</w:t>
            </w:r>
            <w:bookmarkEnd w:id="284"/>
          </w:p>
          <w:p>
            <w:pPr>
              <w:spacing w:line="360" w:lineRule="auto"/>
              <w:ind w:firstLine="420" w:firstLineChars="200"/>
              <w:rPr>
                <w:rFonts w:ascii="宋体" w:hAnsi="宋体" w:cs="宋体"/>
                <w:szCs w:val="21"/>
              </w:rPr>
            </w:pPr>
            <w:r>
              <w:rPr>
                <w:rFonts w:hint="eastAsia" w:ascii="宋体" w:hAnsi="宋体" w:cs="宋体"/>
                <w:szCs w:val="21"/>
              </w:rPr>
              <w:t>保证所管区域的正常秩序，协助公安机关打击不法分子对正常办公秩序的干扰，特别严防各类恐怖暴力事件。防范失火、失盗、破坏等各种突发事件能及时处理控制，制订有针对性的应急预案，为我局提供安全的工作环境：</w:t>
            </w:r>
          </w:p>
          <w:p>
            <w:pPr>
              <w:spacing w:line="360" w:lineRule="auto"/>
              <w:rPr>
                <w:rFonts w:ascii="宋体" w:hAnsi="宋体" w:cs="宋体"/>
                <w:szCs w:val="21"/>
              </w:rPr>
            </w:pPr>
            <w:r>
              <w:rPr>
                <w:rFonts w:hint="eastAsia" w:ascii="宋体" w:hAnsi="宋体" w:cs="宋体"/>
                <w:szCs w:val="21"/>
              </w:rPr>
              <w:t xml:space="preserve">    1、在合同期内无重大安全事故发生 。（本合同的重大安全事故是指造成重大人身伤亡或者造成重大经济损失的事故：①一次死亡1人；②一次重伤3人以上；③重大火灾事故(着火面积达到300m</w:t>
            </w:r>
            <w:r>
              <w:rPr>
                <w:rFonts w:hint="eastAsia" w:ascii="宋体" w:hAnsi="宋体" w:cs="宋体"/>
                <w:szCs w:val="21"/>
                <w:vertAlign w:val="superscript"/>
              </w:rPr>
              <w:t>2</w:t>
            </w:r>
            <w:r>
              <w:rPr>
                <w:rFonts w:hint="eastAsia" w:ascii="宋体" w:hAnsi="宋体" w:cs="宋体"/>
                <w:szCs w:val="21"/>
              </w:rPr>
              <w:t>以上)；④一次造成重大直接经济损失的(20万元以上)；</w:t>
            </w:r>
          </w:p>
          <w:p>
            <w:pPr>
              <w:spacing w:line="360" w:lineRule="auto"/>
              <w:rPr>
                <w:rFonts w:ascii="宋体" w:hAnsi="宋体" w:cs="宋体"/>
                <w:szCs w:val="21"/>
              </w:rPr>
            </w:pPr>
            <w:r>
              <w:rPr>
                <w:rFonts w:hint="eastAsia" w:ascii="宋体" w:hAnsi="宋体" w:cs="宋体"/>
                <w:szCs w:val="21"/>
              </w:rPr>
              <w:t xml:space="preserve">    2、制定保安管理发展规划，有计划、有检查，满意率达</w:t>
            </w:r>
            <w:r>
              <w:rPr>
                <w:rFonts w:hint="eastAsia" w:ascii="宋体" w:hAnsi="宋体" w:cs="宋体"/>
                <w:szCs w:val="21"/>
                <w:u w:val="single"/>
              </w:rPr>
              <w:t>95</w:t>
            </w:r>
            <w:r>
              <w:rPr>
                <w:rFonts w:hint="eastAsia" w:ascii="宋体" w:hAnsi="宋体" w:cs="宋体"/>
                <w:szCs w:val="21"/>
              </w:rPr>
              <w:t xml:space="preserve"> %以上；</w:t>
            </w:r>
          </w:p>
          <w:p>
            <w:pPr>
              <w:spacing w:line="360" w:lineRule="auto"/>
              <w:rPr>
                <w:rFonts w:ascii="宋体" w:hAnsi="宋体" w:cs="宋体"/>
                <w:szCs w:val="21"/>
              </w:rPr>
            </w:pPr>
            <w:r>
              <w:rPr>
                <w:rFonts w:hint="eastAsia" w:ascii="宋体" w:hAnsi="宋体" w:cs="宋体"/>
                <w:szCs w:val="21"/>
              </w:rPr>
              <w:t xml:space="preserve">    3、有效投诉处理率达 100 %；</w:t>
            </w:r>
          </w:p>
          <w:p>
            <w:pPr>
              <w:spacing w:line="360" w:lineRule="auto"/>
              <w:ind w:firstLine="420" w:firstLineChars="200"/>
              <w:rPr>
                <w:rFonts w:ascii="宋体" w:hAnsi="宋体" w:cs="宋体"/>
                <w:szCs w:val="21"/>
              </w:rPr>
            </w:pPr>
            <w:r>
              <w:rPr>
                <w:rFonts w:hint="eastAsia" w:ascii="宋体" w:hAnsi="宋体" w:cs="宋体"/>
                <w:szCs w:val="21"/>
              </w:rPr>
              <w:t>4、公共配套设施、设备完好率达到 100 %</w:t>
            </w:r>
            <w:r>
              <w:rPr>
                <w:rFonts w:ascii="宋体" w:hAnsi="宋体" w:cs="宋体"/>
                <w:szCs w:val="21"/>
              </w:rPr>
              <w:t>。</w:t>
            </w:r>
          </w:p>
        </w:tc>
        <w:tc>
          <w:tcPr>
            <w:tcW w:w="1378"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c>
          <w:tcPr>
            <w:tcW w:w="596"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c>
          <w:tcPr>
            <w:tcW w:w="474"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cs="宋体"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4</w:t>
            </w:r>
          </w:p>
        </w:tc>
        <w:tc>
          <w:tcPr>
            <w:tcW w:w="5065" w:type="dxa"/>
            <w:tcBorders>
              <w:top w:val="single" w:color="auto" w:sz="4" w:space="0"/>
              <w:left w:val="nil"/>
              <w:bottom w:val="single" w:color="auto" w:sz="4" w:space="0"/>
              <w:right w:val="single" w:color="auto" w:sz="4" w:space="0"/>
            </w:tcBorders>
          </w:tcPr>
          <w:p>
            <w:pPr>
              <w:spacing w:line="360" w:lineRule="auto"/>
              <w:jc w:val="left"/>
              <w:textAlignment w:val="baseline"/>
              <w:outlineLvl w:val="1"/>
              <w:rPr>
                <w:rFonts w:ascii="宋体" w:hAnsi="宋体" w:cs="宋体"/>
                <w:b/>
                <w:szCs w:val="21"/>
              </w:rPr>
            </w:pPr>
            <w:bookmarkStart w:id="285" w:name="_Toc9171"/>
            <w:r>
              <w:rPr>
                <w:rFonts w:hint="eastAsia" w:ascii="宋体" w:hAnsi="宋体" w:cs="宋体"/>
                <w:b/>
                <w:szCs w:val="21"/>
              </w:rPr>
              <w:t>（四）服务内容</w:t>
            </w:r>
            <w:r>
              <w:rPr>
                <w:rFonts w:ascii="宋体" w:hAnsi="宋体" w:cs="宋体"/>
                <w:b/>
                <w:szCs w:val="21"/>
              </w:rPr>
              <w:t>要求</w:t>
            </w:r>
            <w:bookmarkEnd w:id="285"/>
          </w:p>
          <w:p>
            <w:pPr>
              <w:pStyle w:val="144"/>
              <w:spacing w:line="360" w:lineRule="auto"/>
              <w:ind w:firstLine="420" w:firstLineChars="200"/>
              <w:rPr>
                <w:rFonts w:ascii="宋体" w:hAnsi="宋体" w:cs="宋体"/>
                <w:sz w:val="21"/>
                <w:szCs w:val="21"/>
              </w:rPr>
            </w:pPr>
            <w:r>
              <w:rPr>
                <w:rFonts w:hint="eastAsia" w:ascii="宋体" w:hAnsi="宋体" w:cs="宋体"/>
                <w:sz w:val="21"/>
                <w:szCs w:val="21"/>
              </w:rPr>
              <w:t>负责服务范围内治安巡防、安全保卫、设施防盗以及消防、“三防”工作，负责维护深圳市医疗保障局服务秩序、停车场车辆安全管理，协助我局工作人员整顿办公秩序，负责我局电子实时监控等，并按照我局的管理模式对保安队员进行管理，依据双方确认的岗位职责要求，执行安全防范任务，承担相应的保安服务责任，具体如下：</w:t>
            </w:r>
          </w:p>
          <w:p>
            <w:pPr>
              <w:pStyle w:val="144"/>
              <w:spacing w:line="360" w:lineRule="auto"/>
              <w:ind w:firstLine="420" w:firstLineChars="200"/>
              <w:rPr>
                <w:rFonts w:ascii="宋体" w:hAnsi="宋体" w:cs="宋体"/>
                <w:sz w:val="21"/>
                <w:szCs w:val="21"/>
              </w:rPr>
            </w:pPr>
            <w:r>
              <w:rPr>
                <w:rFonts w:hint="eastAsia" w:ascii="宋体" w:hAnsi="宋体" w:cs="宋体"/>
                <w:sz w:val="21"/>
                <w:szCs w:val="21"/>
              </w:rPr>
              <w:t>1、做好护卫区域内“防火、防盗、防破坏、防自然灾害”等 工作，发现隐患及时报告，并主动协助整改；</w:t>
            </w:r>
          </w:p>
          <w:p>
            <w:pPr>
              <w:pStyle w:val="144"/>
              <w:spacing w:line="360" w:lineRule="auto"/>
              <w:ind w:firstLine="420" w:firstLineChars="200"/>
              <w:rPr>
                <w:rFonts w:ascii="宋体" w:hAnsi="宋体" w:cs="宋体"/>
                <w:sz w:val="21"/>
                <w:szCs w:val="21"/>
              </w:rPr>
            </w:pPr>
            <w:r>
              <w:rPr>
                <w:rFonts w:hint="eastAsia" w:ascii="宋体" w:hAnsi="宋体" w:cs="宋体"/>
                <w:sz w:val="21"/>
                <w:szCs w:val="21"/>
              </w:rPr>
              <w:t xml:space="preserve">2、保安护卫范围包门卫、巡逻、安全检查、消防监控，加强护卫区域内的设施、设备及场所安全管理；                      </w:t>
            </w:r>
          </w:p>
          <w:p>
            <w:pPr>
              <w:pStyle w:val="144"/>
              <w:spacing w:line="360" w:lineRule="auto"/>
              <w:ind w:firstLine="420" w:firstLineChars="200"/>
              <w:rPr>
                <w:rFonts w:ascii="宋体" w:hAnsi="宋体" w:cs="宋体"/>
                <w:sz w:val="21"/>
                <w:szCs w:val="21"/>
              </w:rPr>
            </w:pPr>
            <w:r>
              <w:rPr>
                <w:rFonts w:hint="eastAsia" w:ascii="宋体" w:hAnsi="宋体" w:cs="宋体"/>
                <w:sz w:val="21"/>
                <w:szCs w:val="21"/>
              </w:rPr>
              <w:t>3、对来访人员做好接待、登记工作；</w:t>
            </w:r>
          </w:p>
          <w:p>
            <w:pPr>
              <w:spacing w:line="360" w:lineRule="auto"/>
              <w:ind w:firstLine="420" w:firstLineChars="200"/>
              <w:rPr>
                <w:rFonts w:ascii="宋体" w:hAnsi="宋体" w:cs="宋体"/>
                <w:szCs w:val="21"/>
              </w:rPr>
            </w:pPr>
            <w:r>
              <w:rPr>
                <w:rFonts w:hint="eastAsia" w:ascii="宋体" w:hAnsi="宋体" w:cs="宋体"/>
                <w:szCs w:val="21"/>
              </w:rPr>
              <w:t>4、法律法规以及合同中规定的其它工作以及临时交办的工作；</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5、遵守我局内部的各项规章制度，对我局内部的机密事项，不准随意打听、记录、传播；</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6、有重要情况要妥善处置并及时上报。不准迟报、漏报、隐瞒不报；</w:t>
            </w:r>
          </w:p>
          <w:p>
            <w:pPr>
              <w:spacing w:line="360" w:lineRule="auto"/>
              <w:ind w:firstLine="420" w:firstLineChars="200"/>
              <w:textAlignment w:val="baseline"/>
              <w:rPr>
                <w:rFonts w:ascii="宋体" w:hAnsi="宋体" w:cs="宋体"/>
                <w:szCs w:val="21"/>
              </w:rPr>
            </w:pPr>
            <w:r>
              <w:rPr>
                <w:rFonts w:hint="eastAsia" w:ascii="宋体" w:hAnsi="宋体" w:cs="宋体"/>
                <w:szCs w:val="21"/>
              </w:rPr>
              <w:t>7、要认真填写值班记录，做好交接班工作。</w:t>
            </w:r>
          </w:p>
        </w:tc>
        <w:tc>
          <w:tcPr>
            <w:tcW w:w="1378"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c>
          <w:tcPr>
            <w:tcW w:w="596"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c>
          <w:tcPr>
            <w:tcW w:w="474" w:type="dxa"/>
            <w:tcBorders>
              <w:top w:val="single" w:color="auto" w:sz="4" w:space="0"/>
              <w:left w:val="nil"/>
              <w:bottom w:val="single" w:color="auto" w:sz="4" w:space="0"/>
              <w:right w:val="single" w:color="auto" w:sz="4" w:space="0"/>
            </w:tcBorders>
          </w:tcPr>
          <w:p>
            <w:pPr>
              <w:spacing w:line="240" w:lineRule="exact"/>
              <w:rPr>
                <w:rFonts w:cs="宋体" w:asciiTheme="minorEastAsia" w:hAnsiTheme="minorEastAsia" w:eastAsiaTheme="minorEastAsia"/>
                <w:color w:val="000000" w:themeColor="text1"/>
                <w:sz w:val="18"/>
                <w:szCs w:val="18"/>
                <w14:textFill>
                  <w14:solidFill>
                    <w14:schemeClr w14:val="tx1"/>
                  </w14:solidFill>
                </w14:textFill>
              </w:rPr>
            </w:pPr>
          </w:p>
        </w:tc>
      </w:tr>
    </w:tbl>
    <w:p>
      <w:pPr>
        <w:spacing w:line="360" w:lineRule="auto"/>
        <w:ind w:firstLine="420" w:firstLineChars="200"/>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备注：</w:t>
      </w:r>
    </w:p>
    <w:p>
      <w:pPr>
        <w:ind w:firstLine="630" w:firstLineChars="300"/>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1. “偏离情况”栏中应填写“正偏离”、“负偏离”或“无偏离”。</w:t>
      </w:r>
    </w:p>
    <w:p>
      <w:pPr>
        <w:ind w:firstLine="630" w:firstLineChars="300"/>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2. “招标文件服务条款”一栏应填写招标文件第二册第三章招标项目需求中“</w:t>
      </w:r>
      <w:r>
        <w:rPr>
          <w:rFonts w:hint="eastAsia" w:cs="Arial" w:asciiTheme="minorEastAsia" w:hAnsiTheme="minorEastAsia" w:eastAsiaTheme="minorEastAsia"/>
          <w:b/>
          <w:bCs/>
          <w:color w:val="000000" w:themeColor="text1"/>
          <w:szCs w:val="21"/>
          <w14:textFill>
            <w14:solidFill>
              <w14:schemeClr w14:val="tx1"/>
            </w14:solidFill>
          </w14:textFill>
        </w:rPr>
        <w:t>三、项目技术要求</w:t>
      </w:r>
      <w:r>
        <w:rPr>
          <w:rFonts w:hint="eastAsia" w:cs="Arial" w:asciiTheme="minorEastAsia" w:hAnsiTheme="minorEastAsia" w:eastAsiaTheme="minorEastAsia"/>
          <w:color w:val="000000" w:themeColor="text1"/>
          <w:szCs w:val="21"/>
          <w14:textFill>
            <w14:solidFill>
              <w14:schemeClr w14:val="tx1"/>
            </w14:solidFill>
          </w14:textFill>
        </w:rPr>
        <w:t>”的内容；“投标文件服务条款”一栏必须详细填写投标文件服务条款的主要内容摘要。</w:t>
      </w:r>
    </w:p>
    <w:p>
      <w:pPr>
        <w:ind w:firstLine="630" w:firstLineChars="300"/>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3.  如果偏离情况与投标文件服务条款的响应情况不一致，或技术参数中要求提供相关证明材料但投标人未提供的，均视为负偏离，在对应的评分项进行适当减分。</w:t>
      </w:r>
    </w:p>
    <w:p>
      <w:pPr>
        <w:pStyle w:val="6"/>
        <w:spacing w:before="120" w:after="120"/>
        <w:jc w:val="center"/>
        <w:rPr>
          <w:rFonts w:ascii="宋体" w:hAnsi="宋体" w:cs="Arial"/>
          <w:bCs w:val="0"/>
          <w:szCs w:val="21"/>
        </w:rPr>
      </w:pPr>
      <w:r>
        <w:rPr>
          <w:b w:val="0"/>
          <w:bCs w:val="0"/>
        </w:rPr>
        <w:br w:type="page"/>
      </w:r>
      <w:bookmarkStart w:id="286" w:name="_Toc24550"/>
      <w:r>
        <w:rPr>
          <w:rFonts w:hint="eastAsia" w:ascii="黑体"/>
          <w:sz w:val="28"/>
          <w:szCs w:val="28"/>
        </w:rPr>
        <w:t>十一、商务条款偏离表</w:t>
      </w:r>
      <w:bookmarkEnd w:id="286"/>
    </w:p>
    <w:p>
      <w:pPr>
        <w:spacing w:line="360" w:lineRule="auto"/>
        <w:rPr>
          <w:rFonts w:ascii="宋体" w:hAnsi="宋体" w:cs="Arial"/>
          <w:bCs/>
          <w:szCs w:val="21"/>
        </w:rPr>
      </w:pPr>
      <w:r>
        <w:rPr>
          <w:rFonts w:hint="eastAsia" w:ascii="宋体" w:hAnsi="宋体" w:cs="Arial"/>
          <w:bCs/>
          <w:szCs w:val="21"/>
        </w:rPr>
        <w:t>投标人名称：         项目编号：</w:t>
      </w:r>
    </w:p>
    <w:tbl>
      <w:tblPr>
        <w:tblStyle w:val="43"/>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4897"/>
        <w:gridCol w:w="1435"/>
        <w:gridCol w:w="736"/>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4897"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招标文件商务条款</w:t>
            </w:r>
          </w:p>
        </w:tc>
        <w:tc>
          <w:tcPr>
            <w:tcW w:w="143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投标文件商务条款</w:t>
            </w:r>
          </w:p>
        </w:tc>
        <w:tc>
          <w:tcPr>
            <w:tcW w:w="73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偏离情况</w:t>
            </w:r>
          </w:p>
        </w:tc>
        <w:tc>
          <w:tcPr>
            <w:tcW w:w="427"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w:t>
            </w:r>
          </w:p>
        </w:tc>
        <w:tc>
          <w:tcPr>
            <w:tcW w:w="4897" w:type="dxa"/>
            <w:tcBorders>
              <w:top w:val="single" w:color="auto" w:sz="4" w:space="0"/>
              <w:left w:val="nil"/>
              <w:bottom w:val="single" w:color="auto" w:sz="4" w:space="0"/>
              <w:right w:val="single" w:color="auto" w:sz="4" w:space="0"/>
            </w:tcBorders>
            <w:vAlign w:val="center"/>
          </w:tcPr>
          <w:p>
            <w:pPr>
              <w:spacing w:line="360" w:lineRule="auto"/>
              <w:rPr>
                <w:b/>
                <w:color w:val="FF0000"/>
              </w:rPr>
            </w:pPr>
            <w:r>
              <w:rPr>
                <w:rFonts w:hint="eastAsia"/>
                <w:b/>
                <w:color w:val="FF0000"/>
              </w:rPr>
              <w:t>★（一）服务期限：</w:t>
            </w:r>
          </w:p>
          <w:p>
            <w:pPr>
              <w:pStyle w:val="14"/>
              <w:spacing w:before="78" w:beforeLines="25" w:after="78" w:afterLines="25" w:line="360" w:lineRule="auto"/>
              <w:ind w:firstLine="392" w:firstLineChars="187"/>
              <w:rPr>
                <w:kern w:val="2"/>
                <w:sz w:val="21"/>
              </w:rPr>
            </w:pPr>
            <w:r>
              <w:rPr>
                <w:rFonts w:hint="eastAsia"/>
                <w:kern w:val="2"/>
                <w:sz w:val="21"/>
              </w:rPr>
              <w:t>本项目合同履行期限为自合同签订之日起一年。本项目合同履行期限满后，采购人对中标人履约情况出履约考核报告。采购人可根据中标人履约情况确定合同是否续签，合同一年一签，第一年为本次招标的中标合同履行期限，最多可续签两次。</w:t>
            </w:r>
          </w:p>
        </w:tc>
        <w:tc>
          <w:tcPr>
            <w:tcW w:w="1435" w:type="dxa"/>
            <w:tcBorders>
              <w:top w:val="single" w:color="auto" w:sz="4" w:space="0"/>
              <w:left w:val="nil"/>
              <w:bottom w:val="single" w:color="auto" w:sz="4" w:space="0"/>
              <w:right w:val="single" w:color="auto" w:sz="4" w:space="0"/>
            </w:tcBorders>
          </w:tcPr>
          <w:p>
            <w:r>
              <w:rPr>
                <w:rFonts w:ascii="宋体" w:hAnsi="宋体" w:cs="宋体"/>
                <w:color w:val="000000" w:themeColor="text1"/>
                <w:szCs w:val="21"/>
                <w14:textFill>
                  <w14:solidFill>
                    <w14:schemeClr w14:val="tx1"/>
                  </w14:solidFill>
                </w14:textFill>
              </w:rPr>
              <w:t>…</w:t>
            </w:r>
          </w:p>
        </w:tc>
        <w:tc>
          <w:tcPr>
            <w:tcW w:w="736" w:type="dxa"/>
            <w:tcBorders>
              <w:top w:val="single" w:color="auto" w:sz="4" w:space="0"/>
              <w:left w:val="nil"/>
              <w:bottom w:val="single" w:color="auto" w:sz="4" w:space="0"/>
              <w:right w:val="single" w:color="auto" w:sz="4" w:space="0"/>
            </w:tcBorders>
          </w:tcPr>
          <w:p>
            <w:r>
              <w:rPr>
                <w:rFonts w:ascii="宋体" w:hAnsi="宋体" w:cs="宋体"/>
                <w:color w:val="000000" w:themeColor="text1"/>
                <w:szCs w:val="21"/>
                <w14:textFill>
                  <w14:solidFill>
                    <w14:schemeClr w14:val="tx1"/>
                  </w14:solidFill>
                </w14:textFill>
              </w:rPr>
              <w:t>…</w:t>
            </w:r>
          </w:p>
        </w:tc>
        <w:tc>
          <w:tcPr>
            <w:tcW w:w="427" w:type="dxa"/>
            <w:tcBorders>
              <w:top w:val="single" w:color="auto" w:sz="4" w:space="0"/>
              <w:left w:val="nil"/>
              <w:bottom w:val="single" w:color="auto" w:sz="4" w:space="0"/>
              <w:right w:val="single" w:color="auto" w:sz="4" w:space="0"/>
            </w:tcBorders>
          </w:tcPr>
          <w:p>
            <w:r>
              <w:rPr>
                <w:rFonts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4897" w:type="dxa"/>
            <w:tcBorders>
              <w:top w:val="single" w:color="auto" w:sz="4" w:space="0"/>
              <w:left w:val="nil"/>
              <w:bottom w:val="single" w:color="auto" w:sz="4" w:space="0"/>
              <w:right w:val="single" w:color="auto" w:sz="4" w:space="0"/>
            </w:tcBorders>
            <w:vAlign w:val="center"/>
          </w:tcPr>
          <w:p>
            <w:pPr>
              <w:spacing w:line="360" w:lineRule="auto"/>
              <w:rPr>
                <w:b/>
                <w:bCs/>
              </w:rPr>
            </w:pPr>
            <w:r>
              <w:rPr>
                <w:rFonts w:hint="eastAsia"/>
                <w:b/>
                <w:bCs/>
              </w:rPr>
              <w:t>（二）付款方式：</w:t>
            </w:r>
          </w:p>
          <w:p>
            <w:pPr>
              <w:spacing w:line="360" w:lineRule="auto"/>
            </w:pPr>
            <w:r>
              <w:rPr>
                <w:rFonts w:hint="eastAsia"/>
              </w:rPr>
              <w:t>采购人应在每月 10 日前以转账支票向中标人支付当月的服务（劳务）费。</w:t>
            </w:r>
          </w:p>
        </w:tc>
        <w:tc>
          <w:tcPr>
            <w:tcW w:w="1435" w:type="dxa"/>
            <w:tcBorders>
              <w:top w:val="single" w:color="auto" w:sz="4" w:space="0"/>
              <w:left w:val="nil"/>
              <w:bottom w:val="single" w:color="auto" w:sz="4" w:space="0"/>
              <w:right w:val="single" w:color="auto" w:sz="4" w:space="0"/>
            </w:tcBorders>
          </w:tcPr>
          <w:p>
            <w:r>
              <w:rPr>
                <w:rFonts w:ascii="宋体" w:hAnsi="宋体" w:cs="宋体"/>
                <w:color w:val="000000" w:themeColor="text1"/>
                <w:szCs w:val="21"/>
                <w14:textFill>
                  <w14:solidFill>
                    <w14:schemeClr w14:val="tx1"/>
                  </w14:solidFill>
                </w14:textFill>
              </w:rPr>
              <w:t>…</w:t>
            </w:r>
          </w:p>
        </w:tc>
        <w:tc>
          <w:tcPr>
            <w:tcW w:w="736" w:type="dxa"/>
            <w:tcBorders>
              <w:top w:val="single" w:color="auto" w:sz="4" w:space="0"/>
              <w:left w:val="nil"/>
              <w:bottom w:val="single" w:color="auto" w:sz="4" w:space="0"/>
              <w:right w:val="single" w:color="auto" w:sz="4" w:space="0"/>
            </w:tcBorders>
          </w:tcPr>
          <w:p>
            <w:r>
              <w:rPr>
                <w:rFonts w:ascii="宋体" w:hAnsi="宋体" w:cs="宋体"/>
                <w:color w:val="000000" w:themeColor="text1"/>
                <w:szCs w:val="21"/>
                <w14:textFill>
                  <w14:solidFill>
                    <w14:schemeClr w14:val="tx1"/>
                  </w14:solidFill>
                </w14:textFill>
              </w:rPr>
              <w:t>…</w:t>
            </w:r>
          </w:p>
        </w:tc>
        <w:tc>
          <w:tcPr>
            <w:tcW w:w="427" w:type="dxa"/>
            <w:tcBorders>
              <w:top w:val="single" w:color="auto" w:sz="4" w:space="0"/>
              <w:left w:val="nil"/>
              <w:bottom w:val="single" w:color="auto" w:sz="4" w:space="0"/>
              <w:right w:val="single" w:color="auto" w:sz="4" w:space="0"/>
            </w:tcBorders>
          </w:tcPr>
          <w:p>
            <w:r>
              <w:rPr>
                <w:rFonts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4897" w:type="dxa"/>
            <w:tcBorders>
              <w:top w:val="single" w:color="auto" w:sz="4" w:space="0"/>
              <w:left w:val="nil"/>
              <w:bottom w:val="single" w:color="auto" w:sz="4" w:space="0"/>
              <w:right w:val="single" w:color="auto" w:sz="4" w:space="0"/>
            </w:tcBorders>
          </w:tcPr>
          <w:p>
            <w:r>
              <w:rPr>
                <w:rFonts w:ascii="宋体" w:hAnsi="宋体" w:cs="宋体"/>
                <w:color w:val="000000" w:themeColor="text1"/>
                <w:szCs w:val="21"/>
                <w14:textFill>
                  <w14:solidFill>
                    <w14:schemeClr w14:val="tx1"/>
                  </w14:solidFill>
                </w14:textFill>
              </w:rPr>
              <w:t>…</w:t>
            </w:r>
          </w:p>
        </w:tc>
        <w:tc>
          <w:tcPr>
            <w:tcW w:w="1435" w:type="dxa"/>
            <w:tcBorders>
              <w:top w:val="single" w:color="auto" w:sz="4" w:space="0"/>
              <w:left w:val="nil"/>
              <w:bottom w:val="single" w:color="auto" w:sz="4" w:space="0"/>
              <w:right w:val="single" w:color="auto" w:sz="4" w:space="0"/>
            </w:tcBorders>
          </w:tcPr>
          <w:p>
            <w:r>
              <w:rPr>
                <w:rFonts w:ascii="宋体" w:hAnsi="宋体" w:cs="宋体"/>
                <w:color w:val="000000" w:themeColor="text1"/>
                <w:szCs w:val="21"/>
                <w14:textFill>
                  <w14:solidFill>
                    <w14:schemeClr w14:val="tx1"/>
                  </w14:solidFill>
                </w14:textFill>
              </w:rPr>
              <w:t>…</w:t>
            </w:r>
          </w:p>
        </w:tc>
        <w:tc>
          <w:tcPr>
            <w:tcW w:w="736" w:type="dxa"/>
            <w:tcBorders>
              <w:top w:val="single" w:color="auto" w:sz="4" w:space="0"/>
              <w:left w:val="nil"/>
              <w:bottom w:val="single" w:color="auto" w:sz="4" w:space="0"/>
              <w:right w:val="single" w:color="auto" w:sz="4" w:space="0"/>
            </w:tcBorders>
          </w:tcPr>
          <w:p>
            <w:r>
              <w:rPr>
                <w:rFonts w:ascii="宋体" w:hAnsi="宋体" w:cs="宋体"/>
                <w:color w:val="000000" w:themeColor="text1"/>
                <w:szCs w:val="21"/>
                <w14:textFill>
                  <w14:solidFill>
                    <w14:schemeClr w14:val="tx1"/>
                  </w14:solidFill>
                </w14:textFill>
              </w:rPr>
              <w:t>…</w:t>
            </w:r>
          </w:p>
        </w:tc>
        <w:tc>
          <w:tcPr>
            <w:tcW w:w="427" w:type="dxa"/>
            <w:tcBorders>
              <w:top w:val="single" w:color="auto" w:sz="4" w:space="0"/>
              <w:left w:val="nil"/>
              <w:bottom w:val="single" w:color="auto" w:sz="4" w:space="0"/>
              <w:right w:val="single" w:color="auto" w:sz="4" w:space="0"/>
            </w:tcBorders>
          </w:tcPr>
          <w:p>
            <w:r>
              <w:rPr>
                <w:rFonts w:ascii="宋体" w:hAnsi="宋体" w:cs="宋体"/>
                <w:color w:val="000000" w:themeColor="text1"/>
                <w:szCs w:val="21"/>
                <w14:textFill>
                  <w14:solidFill>
                    <w14:schemeClr w14:val="tx1"/>
                  </w14:solidFill>
                </w14:textFill>
              </w:rPr>
              <w:t>…</w:t>
            </w:r>
          </w:p>
        </w:tc>
      </w:tr>
    </w:tbl>
    <w:p>
      <w:pPr>
        <w:spacing w:line="360" w:lineRule="auto"/>
        <w:ind w:firstLine="420" w:firstLineChars="200"/>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备注：</w:t>
      </w:r>
    </w:p>
    <w:p>
      <w:pPr>
        <w:spacing w:line="360" w:lineRule="exact"/>
        <w:ind w:firstLine="420" w:firstLineChars="200"/>
        <w:jc w:val="left"/>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1.“招标商务条款要求”一栏填写招标文件第一册第三章招标项目需求中“</w:t>
      </w:r>
      <w:r>
        <w:rPr>
          <w:rFonts w:hint="eastAsia" w:asciiTheme="minorEastAsia" w:hAnsiTheme="minorEastAsia" w:eastAsiaTheme="minorEastAsia"/>
          <w:b/>
          <w:color w:val="000000" w:themeColor="text1"/>
          <w:szCs w:val="21"/>
          <w14:textFill>
            <w14:solidFill>
              <w14:schemeClr w14:val="tx1"/>
            </w14:solidFill>
          </w14:textFill>
        </w:rPr>
        <w:t>四、项目商务要求</w:t>
      </w:r>
      <w:r>
        <w:rPr>
          <w:rFonts w:hint="eastAsia" w:cs="Arial" w:asciiTheme="minorEastAsia" w:hAnsiTheme="minorEastAsia" w:eastAsiaTheme="minorEastAsia"/>
          <w:color w:val="000000" w:themeColor="text1"/>
          <w:szCs w:val="21"/>
          <w14:textFill>
            <w14:solidFill>
              <w14:schemeClr w14:val="tx1"/>
            </w14:solidFill>
          </w14:textFill>
        </w:rPr>
        <w:t>”内容；</w:t>
      </w:r>
    </w:p>
    <w:p>
      <w:pPr>
        <w:spacing w:line="360" w:lineRule="auto"/>
        <w:ind w:firstLine="420" w:firstLineChars="200"/>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2.“投标商务条款响应”一栏详细填写投标的商务要求响应，并对照招标商务条款对应响应；</w:t>
      </w:r>
    </w:p>
    <w:p>
      <w:pPr>
        <w:spacing w:line="360" w:lineRule="auto"/>
        <w:ind w:firstLine="420" w:firstLineChars="200"/>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3.“偏离情况”一栏填写“正偏离”、“负偏离”或“无偏离”</w:t>
      </w:r>
    </w:p>
    <w:p>
      <w:pPr>
        <w:spacing w:line="360" w:lineRule="auto"/>
        <w:ind w:firstLine="420" w:firstLineChars="200"/>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4.如果偏离情况与投标文件服务条款的响应情况不一致，或招标文件的商务要求中要求提供相关证明材料但投标人未提供的，均视为负偏离，在对应的评分项进行适当减分。</w:t>
      </w: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pStyle w:val="6"/>
        <w:spacing w:before="120" w:after="120"/>
        <w:jc w:val="center"/>
        <w:rPr>
          <w:rFonts w:ascii="黑体"/>
          <w:sz w:val="28"/>
          <w:szCs w:val="28"/>
        </w:rPr>
      </w:pPr>
      <w:bookmarkStart w:id="287" w:name="_Toc693"/>
      <w:r>
        <w:rPr>
          <w:rFonts w:hint="eastAsia" w:ascii="黑体"/>
          <w:sz w:val="28"/>
          <w:szCs w:val="28"/>
        </w:rPr>
        <w:t>十二、招标文件要求的其他内容及投标人认为需要加以说明其他内容</w:t>
      </w:r>
      <w:bookmarkEnd w:id="263"/>
      <w:bookmarkEnd w:id="287"/>
    </w:p>
    <w:p/>
    <w:p>
      <w:pPr>
        <w:ind w:firstLine="442" w:firstLineChars="200"/>
        <w:rPr>
          <w:rFonts w:ascii="宋体"/>
          <w:b/>
          <w:sz w:val="22"/>
          <w:szCs w:val="21"/>
        </w:rPr>
      </w:pPr>
      <w:r>
        <w:rPr>
          <w:rFonts w:hint="eastAsia" w:ascii="宋体"/>
          <w:b/>
          <w:sz w:val="22"/>
          <w:szCs w:val="21"/>
        </w:rPr>
        <w:t>附件1.</w:t>
      </w:r>
    </w:p>
    <w:p>
      <w:pPr>
        <w:jc w:val="center"/>
        <w:rPr>
          <w:rFonts w:ascii="宋体"/>
          <w:b/>
          <w:sz w:val="22"/>
          <w:szCs w:val="21"/>
        </w:rPr>
      </w:pPr>
      <w:r>
        <w:rPr>
          <w:rFonts w:hint="eastAsia" w:ascii="宋体"/>
          <w:b/>
          <w:sz w:val="22"/>
          <w:szCs w:val="21"/>
        </w:rPr>
        <w:t>（如投标人不属于中小企业无须提供）</w:t>
      </w:r>
    </w:p>
    <w:p>
      <w:pPr>
        <w:jc w:val="center"/>
        <w:rPr>
          <w:rFonts w:ascii="宋体"/>
          <w:b/>
          <w:sz w:val="22"/>
          <w:szCs w:val="21"/>
        </w:rPr>
      </w:pPr>
      <w:r>
        <w:rPr>
          <w:rFonts w:hint="eastAsia" w:ascii="宋体"/>
          <w:b/>
          <w:sz w:val="22"/>
          <w:szCs w:val="21"/>
        </w:rPr>
        <w:t>中小微企业声明函</w:t>
      </w:r>
    </w:p>
    <w:p>
      <w:pPr>
        <w:spacing w:line="360" w:lineRule="auto"/>
        <w:ind w:firstLine="440" w:firstLineChars="200"/>
        <w:jc w:val="left"/>
        <w:rPr>
          <w:sz w:val="22"/>
          <w:szCs w:val="21"/>
        </w:rPr>
      </w:pPr>
    </w:p>
    <w:p>
      <w:pPr>
        <w:spacing w:line="260" w:lineRule="auto"/>
        <w:ind w:firstLine="420" w:firstLineChars="200"/>
        <w:jc w:val="left"/>
        <w:rPr>
          <w:rFonts w:ascii="宋体" w:hAnsi="宋体" w:cs="宋体"/>
          <w:szCs w:val="21"/>
        </w:rPr>
      </w:pPr>
      <w:r>
        <w:rPr>
          <w:rFonts w:hint="eastAsia" w:ascii="宋体" w:hAnsi="宋体" w:cs="宋体"/>
          <w:szCs w:val="21"/>
        </w:rPr>
        <w:t>本公司郑重声明，根据《政府采购促进中小企业发展管理办法》（财库﹝2020﹞46 号）的规定，本公司参加</w:t>
      </w:r>
      <w:r>
        <w:rPr>
          <w:rFonts w:hint="eastAsia" w:ascii="宋体" w:hAnsi="宋体" w:cs="宋体"/>
          <w:szCs w:val="21"/>
          <w:u w:val="single"/>
        </w:rPr>
        <w:t xml:space="preserve">   （单位名称）   </w:t>
      </w:r>
      <w:r>
        <w:rPr>
          <w:rFonts w:hint="eastAsia" w:ascii="宋体" w:hAnsi="宋体" w:cs="宋体"/>
          <w:szCs w:val="21"/>
        </w:rPr>
        <w:t xml:space="preserve">的 </w:t>
      </w:r>
      <w:r>
        <w:rPr>
          <w:rFonts w:hint="eastAsia" w:ascii="宋体" w:hAnsi="宋体" w:cs="宋体"/>
          <w:szCs w:val="21"/>
          <w:u w:val="single"/>
        </w:rPr>
        <w:t xml:space="preserve">（项目名称）    </w:t>
      </w:r>
      <w:r>
        <w:rPr>
          <w:rFonts w:hint="eastAsia" w:ascii="宋体" w:hAnsi="宋体" w:cs="宋体"/>
          <w:szCs w:val="21"/>
        </w:rPr>
        <w:t>采购活动，服务全部由符合政策要求的中小企业承接。本企业的具体情况如下：</w:t>
      </w:r>
    </w:p>
    <w:p>
      <w:pPr>
        <w:spacing w:line="260" w:lineRule="auto"/>
        <w:ind w:firstLine="420" w:firstLineChars="200"/>
        <w:rPr>
          <w:rFonts w:ascii="宋体" w:hAnsi="宋体" w:cs="宋体"/>
          <w:szCs w:val="21"/>
        </w:rPr>
      </w:pPr>
      <w:r>
        <w:rPr>
          <w:rFonts w:hint="eastAsia" w:ascii="宋体" w:hAnsi="宋体" w:cs="宋体"/>
          <w:szCs w:val="21"/>
          <w:u w:val="single"/>
        </w:rPr>
        <w:t xml:space="preserve">1.    （标的名称）     </w:t>
      </w:r>
      <w:r>
        <w:rPr>
          <w:rFonts w:hint="eastAsia" w:ascii="宋体" w:hAnsi="宋体" w:cs="宋体"/>
          <w:szCs w:val="21"/>
        </w:rPr>
        <w:t>，属于</w:t>
      </w:r>
      <w:r>
        <w:rPr>
          <w:rFonts w:hint="eastAsia" w:ascii="宋体" w:hAnsi="宋体" w:cs="宋体"/>
          <w:szCs w:val="21"/>
          <w:u w:val="single"/>
        </w:rPr>
        <w:t xml:space="preserve">  </w:t>
      </w:r>
      <w:r>
        <w:rPr>
          <w:rFonts w:ascii="宋体" w:hAnsi="宋体"/>
          <w:szCs w:val="21"/>
          <w:u w:val="single"/>
        </w:rPr>
        <w:t>其他未列明行业</w:t>
      </w:r>
      <w:r>
        <w:rPr>
          <w:rFonts w:hint="eastAsia" w:ascii="宋体" w:hAnsi="宋体" w:cs="宋体"/>
          <w:szCs w:val="21"/>
          <w:u w:val="single"/>
        </w:rPr>
        <w:t xml:space="preserve">  </w:t>
      </w:r>
      <w:r>
        <w:rPr>
          <w:rFonts w:hint="eastAsia" w:ascii="宋体" w:hAnsi="宋体" w:cs="宋体"/>
          <w:szCs w:val="21"/>
        </w:rPr>
        <w:t>； 承建（承接）企业为</w:t>
      </w:r>
      <w:r>
        <w:rPr>
          <w:rFonts w:hint="eastAsia" w:ascii="宋体" w:hAnsi="宋体" w:cs="宋体"/>
          <w:szCs w:val="21"/>
          <w:u w:val="single"/>
        </w:rPr>
        <w:t xml:space="preserve">  （企业名称）  </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 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 xml:space="preserve"> 万元，属于</w:t>
      </w:r>
      <w:r>
        <w:rPr>
          <w:rFonts w:hint="eastAsia" w:ascii="宋体" w:hAnsi="宋体" w:cs="宋体"/>
          <w:szCs w:val="21"/>
          <w:u w:val="single"/>
        </w:rPr>
        <w:t xml:space="preserve">   （中型企业、 小型企业、微型企业）  </w:t>
      </w:r>
      <w:r>
        <w:rPr>
          <w:rFonts w:hint="eastAsia" w:ascii="宋体" w:hAnsi="宋体" w:cs="宋体"/>
          <w:szCs w:val="21"/>
        </w:rPr>
        <w:t xml:space="preserve">； </w:t>
      </w:r>
    </w:p>
    <w:p>
      <w:pPr>
        <w:spacing w:line="2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 xml:space="preserve">  （采购文件中明确的所属行业）   </w:t>
      </w:r>
      <w:r>
        <w:rPr>
          <w:rFonts w:hint="eastAsia" w:ascii="宋体" w:hAnsi="宋体" w:cs="宋体"/>
          <w:szCs w:val="21"/>
        </w:rPr>
        <w:t>； 承建（承接）企业为</w:t>
      </w:r>
      <w:r>
        <w:rPr>
          <w:rFonts w:hint="eastAsia" w:ascii="宋体" w:hAnsi="宋体" w:cs="宋体"/>
          <w:szCs w:val="21"/>
          <w:u w:val="single"/>
        </w:rPr>
        <w:t xml:space="preserve">  （企业名称）  </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 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 xml:space="preserve"> 万元，属于</w:t>
      </w:r>
      <w:r>
        <w:rPr>
          <w:rFonts w:hint="eastAsia" w:ascii="宋体" w:hAnsi="宋体" w:cs="宋体"/>
          <w:szCs w:val="21"/>
          <w:u w:val="single"/>
        </w:rPr>
        <w:t xml:space="preserve">   （中型企业、 小型企业、微型企业）  </w:t>
      </w:r>
      <w:r>
        <w:rPr>
          <w:rFonts w:hint="eastAsia" w:ascii="宋体" w:hAnsi="宋体" w:cs="宋体"/>
          <w:szCs w:val="21"/>
        </w:rPr>
        <w:t xml:space="preserve">； </w:t>
      </w:r>
    </w:p>
    <w:p>
      <w:pPr>
        <w:spacing w:line="260" w:lineRule="auto"/>
        <w:ind w:firstLine="420" w:firstLineChars="200"/>
        <w:rPr>
          <w:rFonts w:ascii="宋体" w:hAnsi="宋体" w:cs="宋体"/>
          <w:szCs w:val="21"/>
        </w:rPr>
      </w:pPr>
      <w:r>
        <w:rPr>
          <w:rFonts w:hint="eastAsia" w:ascii="宋体" w:hAnsi="宋体" w:cs="宋体"/>
          <w:szCs w:val="21"/>
        </w:rPr>
        <w:t xml:space="preserve">…… </w:t>
      </w:r>
    </w:p>
    <w:p>
      <w:pPr>
        <w:ind w:firstLine="420" w:firstLineChars="200"/>
        <w:rPr>
          <w:rFonts w:ascii="宋体" w:hAnsi="宋体" w:cs="宋体"/>
          <w:szCs w:val="21"/>
        </w:rPr>
      </w:pPr>
      <w:r>
        <w:rPr>
          <w:rFonts w:hint="eastAsia" w:ascii="宋体" w:hAnsi="宋体" w:cs="宋体"/>
          <w:szCs w:val="21"/>
        </w:rPr>
        <w:t xml:space="preserve">以上企业，不属于大企业的分支机构，不存在控股股东为大企业的情形，也不存在与大企业的负责人为同一人的情形。 </w:t>
      </w:r>
    </w:p>
    <w:p>
      <w:pPr>
        <w:ind w:firstLine="420" w:firstLineChars="200"/>
        <w:rPr>
          <w:rFonts w:ascii="宋体" w:hAnsi="宋体" w:cs="宋体"/>
          <w:szCs w:val="21"/>
        </w:rPr>
      </w:pPr>
      <w:r>
        <w:rPr>
          <w:rFonts w:hint="eastAsia" w:ascii="宋体" w:hAnsi="宋体" w:cs="宋体"/>
          <w:szCs w:val="21"/>
        </w:rPr>
        <w:t>本公司已知悉《政府采购促进中小企业发展管理办法》（财库〔2020〕46 号）、《中小企业划型标准规定》（工信部联企〔2011〕300 号）、《统计上大中小微型企业划分办法（2017）》等 规定，承诺提供的声明函内容是真实的，并知悉根据《政府采购促进中小企业发展管理办法》（财库〔2020〕46 号）第二十条规定，供应商按照本办法规定提供声明函内容不实的，属于提供虚假材料谋取中标、成交，依照《政府采购法》 等政府采购有关法律法规规定追究相应责任。本企业对上述声明内容的真实性负责。如有虚假，将依法承担相应责任。</w:t>
      </w:r>
    </w:p>
    <w:p>
      <w:pPr>
        <w:spacing w:line="360" w:lineRule="auto"/>
        <w:ind w:firstLine="4840" w:firstLineChars="2200"/>
        <w:jc w:val="left"/>
        <w:rPr>
          <w:rFonts w:ascii="宋体"/>
          <w:sz w:val="22"/>
          <w:szCs w:val="21"/>
        </w:rPr>
      </w:pPr>
    </w:p>
    <w:p>
      <w:pPr>
        <w:spacing w:line="360" w:lineRule="auto"/>
        <w:ind w:firstLine="4840" w:firstLineChars="2200"/>
        <w:jc w:val="left"/>
        <w:rPr>
          <w:rFonts w:ascii="宋体"/>
          <w:sz w:val="22"/>
          <w:szCs w:val="21"/>
        </w:rPr>
      </w:pPr>
    </w:p>
    <w:p>
      <w:pPr>
        <w:spacing w:line="360" w:lineRule="auto"/>
        <w:ind w:firstLine="4840" w:firstLineChars="2200"/>
        <w:jc w:val="left"/>
        <w:rPr>
          <w:rFonts w:ascii="宋体"/>
          <w:sz w:val="22"/>
          <w:szCs w:val="21"/>
        </w:rPr>
      </w:pPr>
    </w:p>
    <w:p>
      <w:pPr>
        <w:ind w:firstLine="3300" w:firstLineChars="1500"/>
        <w:jc w:val="left"/>
        <w:rPr>
          <w:rFonts w:ascii="宋体"/>
          <w:sz w:val="22"/>
          <w:szCs w:val="21"/>
        </w:rPr>
      </w:pPr>
      <w:r>
        <w:rPr>
          <w:rFonts w:hint="eastAsia" w:ascii="宋体"/>
          <w:sz w:val="22"/>
          <w:szCs w:val="21"/>
        </w:rPr>
        <w:t>法定代表人或其授权委托人（</w:t>
      </w:r>
      <w:r>
        <w:rPr>
          <w:rFonts w:hint="eastAsia" w:ascii="宋体"/>
          <w:b/>
          <w:sz w:val="22"/>
          <w:szCs w:val="21"/>
        </w:rPr>
        <w:t>签名</w:t>
      </w:r>
      <w:r>
        <w:rPr>
          <w:rFonts w:hint="eastAsia" w:ascii="宋体"/>
          <w:sz w:val="22"/>
          <w:szCs w:val="21"/>
        </w:rPr>
        <w:t>）：</w:t>
      </w:r>
    </w:p>
    <w:p>
      <w:pPr>
        <w:jc w:val="left"/>
        <w:rPr>
          <w:rFonts w:ascii="宋体"/>
          <w:sz w:val="22"/>
          <w:szCs w:val="21"/>
        </w:rPr>
      </w:pPr>
    </w:p>
    <w:p>
      <w:pPr>
        <w:ind w:firstLine="3300" w:firstLineChars="1500"/>
        <w:jc w:val="left"/>
        <w:rPr>
          <w:rFonts w:ascii="宋体"/>
          <w:sz w:val="22"/>
          <w:szCs w:val="21"/>
        </w:rPr>
      </w:pPr>
      <w:r>
        <w:rPr>
          <w:rFonts w:hint="eastAsia" w:ascii="宋体"/>
          <w:sz w:val="22"/>
          <w:szCs w:val="21"/>
        </w:rPr>
        <w:t>供应商（</w:t>
      </w:r>
      <w:r>
        <w:rPr>
          <w:rFonts w:hint="eastAsia" w:ascii="宋体"/>
          <w:b/>
          <w:sz w:val="22"/>
          <w:szCs w:val="21"/>
        </w:rPr>
        <w:t>盖公章</w:t>
      </w:r>
      <w:r>
        <w:rPr>
          <w:rFonts w:hint="eastAsia" w:ascii="宋体"/>
          <w:sz w:val="22"/>
          <w:szCs w:val="21"/>
        </w:rPr>
        <w:t>）：</w:t>
      </w:r>
    </w:p>
    <w:p>
      <w:pPr>
        <w:jc w:val="left"/>
        <w:rPr>
          <w:rFonts w:ascii="宋体"/>
          <w:sz w:val="22"/>
          <w:szCs w:val="21"/>
        </w:rPr>
      </w:pPr>
    </w:p>
    <w:p>
      <w:pPr>
        <w:jc w:val="right"/>
        <w:rPr>
          <w:sz w:val="22"/>
          <w:szCs w:val="21"/>
        </w:rPr>
      </w:pPr>
      <w:r>
        <w:rPr>
          <w:rFonts w:hint="eastAsia" w:ascii="宋体"/>
          <w:sz w:val="22"/>
          <w:szCs w:val="21"/>
        </w:rPr>
        <w:t>日期：    年  月  日</w:t>
      </w:r>
    </w:p>
    <w:p>
      <w:pPr>
        <w:jc w:val="right"/>
        <w:rPr>
          <w:sz w:val="22"/>
          <w:szCs w:val="21"/>
        </w:rPr>
      </w:pPr>
    </w:p>
    <w:p>
      <w:pPr>
        <w:spacing w:line="360" w:lineRule="auto"/>
        <w:ind w:firstLine="6160" w:firstLineChars="2800"/>
        <w:jc w:val="left"/>
        <w:rPr>
          <w:sz w:val="22"/>
          <w:szCs w:val="21"/>
        </w:rPr>
      </w:pPr>
    </w:p>
    <w:p>
      <w:pPr>
        <w:pStyle w:val="86"/>
        <w:rPr>
          <w:sz w:val="22"/>
          <w:szCs w:val="21"/>
        </w:rPr>
        <w:sectPr>
          <w:pgSz w:w="11906" w:h="16838"/>
          <w:pgMar w:top="1440" w:right="1800" w:bottom="1440" w:left="1800" w:header="851" w:footer="992" w:gutter="0"/>
          <w:cols w:space="720" w:num="1"/>
          <w:titlePg/>
          <w:docGrid w:type="lines" w:linePitch="312" w:charSpace="0"/>
        </w:sectPr>
      </w:pPr>
    </w:p>
    <w:p>
      <w:pPr>
        <w:ind w:firstLine="442" w:firstLineChars="200"/>
        <w:rPr>
          <w:rFonts w:ascii="宋体"/>
          <w:b/>
          <w:sz w:val="22"/>
          <w:szCs w:val="21"/>
        </w:rPr>
      </w:pPr>
      <w:r>
        <w:rPr>
          <w:rFonts w:hint="eastAsia" w:ascii="宋体"/>
          <w:b/>
          <w:sz w:val="22"/>
          <w:szCs w:val="21"/>
        </w:rPr>
        <w:t>附件2.</w:t>
      </w:r>
    </w:p>
    <w:p>
      <w:pPr>
        <w:ind w:firstLine="440" w:firstLineChars="200"/>
        <w:jc w:val="left"/>
        <w:rPr>
          <w:rFonts w:ascii="楷体_GB2312" w:eastAsia="楷体_GB2312"/>
          <w:sz w:val="22"/>
          <w:szCs w:val="21"/>
        </w:rPr>
      </w:pPr>
    </w:p>
    <w:p>
      <w:pPr>
        <w:jc w:val="center"/>
        <w:rPr>
          <w:rFonts w:ascii="宋体"/>
          <w:b/>
          <w:sz w:val="22"/>
          <w:szCs w:val="21"/>
        </w:rPr>
      </w:pPr>
      <w:r>
        <w:rPr>
          <w:rFonts w:hint="eastAsia" w:ascii="宋体"/>
          <w:b/>
          <w:sz w:val="22"/>
          <w:szCs w:val="21"/>
        </w:rPr>
        <w:t>（如投标人不属于残疾人福利性企业无须提供）</w:t>
      </w:r>
    </w:p>
    <w:p>
      <w:pPr>
        <w:jc w:val="center"/>
        <w:rPr>
          <w:rFonts w:ascii="宋体"/>
          <w:b/>
          <w:sz w:val="22"/>
          <w:szCs w:val="21"/>
        </w:rPr>
      </w:pPr>
      <w:r>
        <w:rPr>
          <w:rFonts w:hint="eastAsia" w:ascii="宋体"/>
          <w:b/>
          <w:sz w:val="22"/>
          <w:szCs w:val="21"/>
        </w:rPr>
        <w:t>残疾人福利性企业声明函</w:t>
      </w:r>
    </w:p>
    <w:p>
      <w:pPr>
        <w:jc w:val="center"/>
        <w:rPr>
          <w:rFonts w:ascii="黑体" w:eastAsia="黑体"/>
          <w:sz w:val="22"/>
          <w:szCs w:val="21"/>
        </w:rPr>
      </w:pPr>
    </w:p>
    <w:p>
      <w:pPr>
        <w:rPr>
          <w:sz w:val="22"/>
          <w:szCs w:val="21"/>
        </w:rPr>
      </w:pPr>
      <w:r>
        <w:rPr>
          <w:rFonts w:hint="eastAsia"/>
          <w:sz w:val="22"/>
          <w:szCs w:val="21"/>
        </w:rPr>
        <w:t>友和保险经纪有限公司：</w:t>
      </w:r>
    </w:p>
    <w:p>
      <w:pPr>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本单位郑重声明，根据《财政部民政部中国残疾人联合会关于促进残疾人就业政府采购政策的通知》（财库〔2017〕 141号）的规定，本单位为符合条件的残疾人福利性单位，且本单位参加______单位的______项目采购活动由本单位承担工程/提供服务），或者提供其他残疾人福利性单位制造的货物（不包括使用非残疾人福利性单位注册商标的货物）。</w:t>
      </w:r>
    </w:p>
    <w:p>
      <w:pPr>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本单位知悉《关于促进残疾人就业政府采购政策的通知》（财库〔2017〕141 号）的规定，承诺提供的声明函内容是真实的，如提供声明函内容不实，则依法追究相关法律责任。本单位对上述声明的真实性负责。如有虚假，将依法承担相应责任。</w:t>
      </w:r>
    </w:p>
    <w:p>
      <w:pPr>
        <w:ind w:firstLine="440" w:firstLineChars="200"/>
        <w:rPr>
          <w:sz w:val="22"/>
          <w:szCs w:val="21"/>
        </w:rPr>
      </w:pPr>
    </w:p>
    <w:p>
      <w:pPr>
        <w:ind w:firstLine="440" w:firstLineChars="200"/>
        <w:rPr>
          <w:sz w:val="22"/>
          <w:szCs w:val="21"/>
        </w:rPr>
      </w:pPr>
    </w:p>
    <w:p>
      <w:pPr>
        <w:ind w:firstLine="440" w:firstLineChars="200"/>
        <w:rPr>
          <w:sz w:val="22"/>
          <w:szCs w:val="21"/>
        </w:rPr>
      </w:pPr>
    </w:p>
    <w:p>
      <w:pPr>
        <w:ind w:firstLine="440" w:firstLineChars="200"/>
        <w:rPr>
          <w:sz w:val="22"/>
          <w:szCs w:val="21"/>
        </w:rPr>
      </w:pPr>
    </w:p>
    <w:p>
      <w:pPr>
        <w:ind w:firstLine="440" w:firstLineChars="200"/>
        <w:jc w:val="center"/>
        <w:rPr>
          <w:sz w:val="22"/>
          <w:szCs w:val="21"/>
        </w:rPr>
      </w:pPr>
    </w:p>
    <w:p>
      <w:pPr>
        <w:ind w:firstLine="440" w:firstLineChars="200"/>
        <w:rPr>
          <w:sz w:val="22"/>
          <w:szCs w:val="21"/>
        </w:rPr>
      </w:pPr>
    </w:p>
    <w:p>
      <w:pPr>
        <w:ind w:firstLine="440" w:firstLineChars="200"/>
        <w:rPr>
          <w:sz w:val="22"/>
          <w:szCs w:val="21"/>
        </w:rPr>
      </w:pPr>
      <w:r>
        <w:rPr>
          <w:rFonts w:hint="eastAsia"/>
          <w:sz w:val="22"/>
          <w:szCs w:val="21"/>
        </w:rPr>
        <w:t>供应商：（盖公章）</w:t>
      </w:r>
    </w:p>
    <w:p>
      <w:pPr>
        <w:ind w:firstLine="440" w:firstLineChars="200"/>
        <w:rPr>
          <w:sz w:val="22"/>
          <w:szCs w:val="21"/>
        </w:rPr>
      </w:pPr>
      <w:r>
        <w:rPr>
          <w:rFonts w:hint="eastAsia"/>
          <w:sz w:val="22"/>
          <w:szCs w:val="21"/>
        </w:rPr>
        <w:t>日期：  年  月   日</w:t>
      </w:r>
    </w:p>
    <w:p>
      <w:r>
        <w:rPr>
          <w:rFonts w:hint="eastAsia"/>
        </w:rPr>
        <w:br w:type="page"/>
      </w:r>
    </w:p>
    <w:p>
      <w:pPr>
        <w:ind w:firstLine="442" w:firstLineChars="200"/>
        <w:rPr>
          <w:rFonts w:ascii="宋体"/>
          <w:b/>
          <w:sz w:val="22"/>
          <w:szCs w:val="21"/>
        </w:rPr>
      </w:pPr>
      <w:r>
        <w:rPr>
          <w:rFonts w:hint="eastAsia" w:ascii="宋体"/>
          <w:b/>
          <w:sz w:val="22"/>
          <w:szCs w:val="21"/>
        </w:rPr>
        <w:t>附件3</w:t>
      </w:r>
    </w:p>
    <w:p>
      <w:pPr>
        <w:ind w:firstLine="440" w:firstLineChars="200"/>
        <w:jc w:val="left"/>
        <w:rPr>
          <w:rFonts w:ascii="楷体_GB2312" w:eastAsia="楷体_GB2312"/>
          <w:sz w:val="22"/>
          <w:szCs w:val="21"/>
        </w:rPr>
      </w:pPr>
    </w:p>
    <w:p>
      <w:r>
        <w:rPr>
          <w:rFonts w:hint="eastAsia"/>
        </w:rPr>
        <w:t xml:space="preserve">    省级以上监狱管理局、戒毒管理局（含新疆生产建设兵团）出具的属于监狱企业的证明文件（仅限监狱企业，格式自定）</w:t>
      </w:r>
    </w:p>
    <w:p>
      <w:pPr>
        <w:rPr>
          <w:b/>
          <w:sz w:val="24"/>
        </w:rPr>
      </w:pPr>
      <w:r>
        <w:rPr>
          <w:rFonts w:hint="eastAsia"/>
          <w:b/>
          <w:sz w:val="24"/>
        </w:rPr>
        <w:br w:type="page"/>
      </w:r>
    </w:p>
    <w:p>
      <w:pPr>
        <w:pStyle w:val="5"/>
        <w:jc w:val="center"/>
      </w:pPr>
      <w:bookmarkStart w:id="288" w:name="_Toc26977"/>
      <w:r>
        <w:rPr>
          <w:rFonts w:hint="eastAsia"/>
        </w:rPr>
        <w:t>第六章政府采购履约情况反馈表</w:t>
      </w:r>
      <w:bookmarkEnd w:id="288"/>
    </w:p>
    <w:p>
      <w:pPr>
        <w:spacing w:line="240" w:lineRule="atLeast"/>
        <w:rPr>
          <w:rFonts w:ascii="宋体" w:hAnsi="宋体"/>
          <w:b/>
          <w:szCs w:val="21"/>
        </w:rPr>
      </w:pPr>
      <w:r>
        <w:rPr>
          <w:rFonts w:hint="eastAsia" w:ascii="宋体" w:hAnsi="宋体"/>
          <w:b/>
          <w:szCs w:val="21"/>
        </w:rPr>
        <w:t>采购单位名称：                       联系人及电话：</w:t>
      </w:r>
    </w:p>
    <w:p>
      <w:pPr>
        <w:spacing w:line="60" w:lineRule="exact"/>
        <w:rPr>
          <w:rFonts w:ascii="宋体" w:hAnsi="宋体"/>
          <w:b/>
          <w:szCs w:val="21"/>
        </w:rPr>
      </w:pPr>
    </w:p>
    <w:tbl>
      <w:tblPr>
        <w:tblStyle w:val="43"/>
        <w:tblW w:w="891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2282" w:type="dxa"/>
            <w:gridSpan w:val="3"/>
            <w:vAlign w:val="center"/>
          </w:tcPr>
          <w:p>
            <w:pPr>
              <w:spacing w:line="240" w:lineRule="atLeast"/>
              <w:jc w:val="center"/>
              <w:rPr>
                <w:rFonts w:ascii="宋体" w:hAnsi="宋体"/>
                <w:szCs w:val="21"/>
              </w:rPr>
            </w:pPr>
            <w:r>
              <w:rPr>
                <w:rFonts w:hint="eastAsia" w:ascii="宋体" w:hAnsi="宋体"/>
                <w:szCs w:val="21"/>
              </w:rPr>
              <w:t>采购项目名称</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项目编号</w:t>
            </w:r>
          </w:p>
        </w:tc>
        <w:tc>
          <w:tcPr>
            <w:tcW w:w="2135" w:type="dxa"/>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2282" w:type="dxa"/>
            <w:gridSpan w:val="3"/>
            <w:vAlign w:val="center"/>
          </w:tcPr>
          <w:p>
            <w:pPr>
              <w:spacing w:line="240" w:lineRule="atLeast"/>
              <w:jc w:val="center"/>
              <w:rPr>
                <w:rFonts w:ascii="宋体" w:hAnsi="宋体"/>
                <w:szCs w:val="21"/>
              </w:rPr>
            </w:pPr>
            <w:r>
              <w:rPr>
                <w:rFonts w:hint="eastAsia" w:ascii="宋体" w:hAnsi="宋体"/>
                <w:szCs w:val="21"/>
              </w:rPr>
              <w:t>中标供应商名称</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供应商</w:t>
            </w:r>
          </w:p>
          <w:p>
            <w:pPr>
              <w:spacing w:line="240" w:lineRule="atLeast"/>
              <w:jc w:val="center"/>
              <w:rPr>
                <w:rFonts w:ascii="宋体" w:hAnsi="宋体"/>
                <w:szCs w:val="21"/>
              </w:rPr>
            </w:pPr>
            <w:r>
              <w:rPr>
                <w:rFonts w:hint="eastAsia" w:ascii="宋体" w:hAnsi="宋体"/>
                <w:szCs w:val="21"/>
              </w:rPr>
              <w:t>联系人及电话</w:t>
            </w:r>
          </w:p>
        </w:tc>
        <w:tc>
          <w:tcPr>
            <w:tcW w:w="2135" w:type="dxa"/>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2282" w:type="dxa"/>
            <w:gridSpan w:val="3"/>
            <w:vAlign w:val="center"/>
          </w:tcPr>
          <w:p>
            <w:pPr>
              <w:spacing w:line="240" w:lineRule="atLeast"/>
              <w:jc w:val="center"/>
              <w:rPr>
                <w:rFonts w:ascii="宋体" w:hAnsi="宋体"/>
                <w:szCs w:val="21"/>
              </w:rPr>
            </w:pPr>
            <w:r>
              <w:rPr>
                <w:rFonts w:hint="eastAsia" w:ascii="宋体" w:hAnsi="宋体"/>
                <w:szCs w:val="21"/>
              </w:rPr>
              <w:t>中标金额</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合同履约时间</w:t>
            </w:r>
          </w:p>
        </w:tc>
        <w:tc>
          <w:tcPr>
            <w:tcW w:w="2135" w:type="dxa"/>
            <w:vAlign w:val="center"/>
          </w:tcPr>
          <w:p>
            <w:pPr>
              <w:spacing w:line="240" w:lineRule="atLeast"/>
              <w:rPr>
                <w:rFonts w:ascii="宋体" w:hAnsi="宋体"/>
                <w:szCs w:val="21"/>
              </w:rPr>
            </w:pPr>
            <w:r>
              <w:rPr>
                <w:rFonts w:hint="eastAsia" w:ascii="宋体" w:hAnsi="宋体"/>
                <w:szCs w:val="21"/>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842" w:type="dxa"/>
            <w:vMerge w:val="restart"/>
            <w:vAlign w:val="center"/>
          </w:tcPr>
          <w:p>
            <w:pPr>
              <w:spacing w:line="240" w:lineRule="atLeast"/>
              <w:jc w:val="center"/>
              <w:rPr>
                <w:rFonts w:ascii="宋体" w:hAnsi="宋体"/>
                <w:b/>
                <w:szCs w:val="21"/>
              </w:rPr>
            </w:pPr>
            <w:r>
              <w:rPr>
                <w:rFonts w:hint="eastAsia" w:ascii="宋体" w:hAnsi="宋体"/>
                <w:b/>
                <w:szCs w:val="21"/>
              </w:rPr>
              <w:t>履约情况评价</w:t>
            </w:r>
          </w:p>
        </w:tc>
        <w:tc>
          <w:tcPr>
            <w:tcW w:w="1440" w:type="dxa"/>
            <w:gridSpan w:val="2"/>
            <w:tcBorders>
              <w:right w:val="single" w:color="auto" w:sz="4" w:space="0"/>
            </w:tcBorders>
            <w:vAlign w:val="center"/>
          </w:tcPr>
          <w:p>
            <w:pPr>
              <w:spacing w:line="240" w:lineRule="atLeast"/>
              <w:jc w:val="center"/>
              <w:rPr>
                <w:rFonts w:ascii="宋体" w:hAnsi="宋体"/>
                <w:szCs w:val="21"/>
              </w:rPr>
            </w:pPr>
            <w:r>
              <w:rPr>
                <w:rFonts w:hint="eastAsia" w:ascii="宋体" w:hAnsi="宋体"/>
                <w:szCs w:val="21"/>
              </w:rPr>
              <w:t>总体评价</w:t>
            </w:r>
          </w:p>
        </w:tc>
        <w:tc>
          <w:tcPr>
            <w:tcW w:w="6635" w:type="dxa"/>
            <w:gridSpan w:val="3"/>
            <w:tcBorders>
              <w:left w:val="single" w:color="auto" w:sz="4" w:space="0"/>
            </w:tcBorders>
            <w:vAlign w:val="center"/>
          </w:tcPr>
          <w:p>
            <w:pPr>
              <w:spacing w:line="240" w:lineRule="atLeast"/>
              <w:ind w:firstLine="105" w:firstLineChars="50"/>
              <w:jc w:val="center"/>
              <w:rPr>
                <w:rFonts w:ascii="宋体" w:hAnsi="宋体"/>
                <w:szCs w:val="21"/>
              </w:rPr>
            </w:pPr>
            <w:r>
              <w:rPr>
                <w:rFonts w:hint="eastAsia" w:ascii="宋体" w:hAnsi="宋体"/>
                <w:szCs w:val="21"/>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vAlign w:val="center"/>
          </w:tcPr>
          <w:p>
            <w:pPr>
              <w:spacing w:line="240" w:lineRule="atLeast"/>
              <w:jc w:val="center"/>
              <w:rPr>
                <w:rFonts w:ascii="宋体" w:hAnsi="宋体"/>
                <w:szCs w:val="21"/>
              </w:rPr>
            </w:pPr>
          </w:p>
        </w:tc>
        <w:tc>
          <w:tcPr>
            <w:tcW w:w="720" w:type="dxa"/>
            <w:vMerge w:val="restart"/>
            <w:tcBorders>
              <w:right w:val="single" w:color="auto" w:sz="4" w:space="0"/>
            </w:tcBorders>
            <w:vAlign w:val="center"/>
          </w:tcPr>
          <w:p>
            <w:pPr>
              <w:spacing w:line="240" w:lineRule="atLeast"/>
              <w:jc w:val="center"/>
              <w:rPr>
                <w:rFonts w:ascii="宋体" w:hAnsi="宋体"/>
                <w:szCs w:val="21"/>
              </w:rPr>
            </w:pPr>
            <w:r>
              <w:rPr>
                <w:rFonts w:hint="eastAsia" w:ascii="宋体" w:hAnsi="宋体"/>
                <w:szCs w:val="21"/>
              </w:rPr>
              <w:t>分项评价</w:t>
            </w: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质量方面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价格方面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服务方面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时间方面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环境保护</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其他</w:t>
            </w:r>
          </w:p>
        </w:tc>
        <w:tc>
          <w:tcPr>
            <w:tcW w:w="6635" w:type="dxa"/>
            <w:gridSpan w:val="3"/>
            <w:tcBorders>
              <w:left w:val="single" w:color="auto" w:sz="4" w:space="0"/>
            </w:tcBorders>
            <w:vAlign w:val="center"/>
          </w:tcPr>
          <w:p>
            <w:pPr>
              <w:spacing w:before="156" w:beforeLines="50" w:after="156" w:afterLines="50" w:line="240" w:lineRule="atLeast"/>
              <w:rPr>
                <w:rFonts w:ascii="宋体" w:hAnsi="宋体"/>
                <w:szCs w:val="21"/>
                <w:u w:val="single"/>
              </w:rPr>
            </w:pPr>
            <w:r>
              <w:rPr>
                <w:rFonts w:hint="eastAsia" w:ascii="宋体" w:hAnsi="宋体"/>
                <w:szCs w:val="21"/>
              </w:rPr>
              <w:t>评价内容为：</w:t>
            </w:r>
          </w:p>
          <w:p>
            <w:pPr>
              <w:spacing w:before="156" w:beforeLines="50" w:after="156" w:afterLines="50" w:line="240" w:lineRule="atLeast"/>
              <w:rPr>
                <w:rFonts w:ascii="宋体" w:hAnsi="宋体"/>
                <w:szCs w:val="21"/>
              </w:rPr>
            </w:pPr>
            <w:r>
              <w:rPr>
                <w:rFonts w:hint="eastAsia" w:ascii="宋体" w:hAnsi="宋体"/>
                <w:szCs w:val="21"/>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69" w:hRule="atLeast"/>
        </w:trPr>
        <w:tc>
          <w:tcPr>
            <w:tcW w:w="1562" w:type="dxa"/>
            <w:gridSpan w:val="2"/>
            <w:vAlign w:val="center"/>
          </w:tcPr>
          <w:p>
            <w:pPr>
              <w:spacing w:line="240" w:lineRule="atLeast"/>
              <w:jc w:val="center"/>
              <w:rPr>
                <w:rFonts w:ascii="宋体" w:hAnsi="宋体"/>
                <w:szCs w:val="21"/>
              </w:rPr>
            </w:pPr>
            <w:r>
              <w:rPr>
                <w:rFonts w:hint="eastAsia" w:ascii="宋体" w:hAnsi="宋体"/>
                <w:szCs w:val="21"/>
              </w:rPr>
              <w:t>具体情况说明</w:t>
            </w:r>
          </w:p>
        </w:tc>
        <w:tc>
          <w:tcPr>
            <w:tcW w:w="7355" w:type="dxa"/>
            <w:gridSpan w:val="4"/>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07" w:hRule="atLeast"/>
        </w:trPr>
        <w:tc>
          <w:tcPr>
            <w:tcW w:w="1562" w:type="dxa"/>
            <w:gridSpan w:val="2"/>
            <w:vAlign w:val="center"/>
          </w:tcPr>
          <w:p>
            <w:pPr>
              <w:spacing w:line="240" w:lineRule="atLeast"/>
              <w:jc w:val="center"/>
              <w:rPr>
                <w:rFonts w:ascii="宋体" w:hAnsi="宋体"/>
                <w:szCs w:val="21"/>
              </w:rPr>
            </w:pPr>
            <w:r>
              <w:rPr>
                <w:rFonts w:hint="eastAsia" w:ascii="宋体" w:hAnsi="宋体"/>
                <w:szCs w:val="21"/>
              </w:rPr>
              <w:t>采购单位意见</w:t>
            </w:r>
          </w:p>
          <w:p>
            <w:pPr>
              <w:spacing w:line="240" w:lineRule="atLeast"/>
              <w:jc w:val="center"/>
              <w:rPr>
                <w:rFonts w:ascii="宋体" w:hAnsi="宋体"/>
                <w:szCs w:val="21"/>
              </w:rPr>
            </w:pPr>
            <w:r>
              <w:rPr>
                <w:rFonts w:hint="eastAsia" w:ascii="宋体" w:hAnsi="宋体"/>
                <w:szCs w:val="21"/>
              </w:rPr>
              <w:t>（公章）</w:t>
            </w:r>
          </w:p>
        </w:tc>
        <w:tc>
          <w:tcPr>
            <w:tcW w:w="7355" w:type="dxa"/>
            <w:gridSpan w:val="4"/>
            <w:vAlign w:val="center"/>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ind w:firstLine="3780" w:firstLineChars="1800"/>
              <w:rPr>
                <w:rFonts w:ascii="宋体" w:hAnsi="宋体"/>
                <w:szCs w:val="21"/>
              </w:rPr>
            </w:pPr>
          </w:p>
          <w:p>
            <w:pPr>
              <w:spacing w:line="240" w:lineRule="atLeast"/>
              <w:ind w:firstLine="3780" w:firstLineChars="1800"/>
              <w:rPr>
                <w:rFonts w:ascii="宋体" w:hAnsi="宋体"/>
                <w:szCs w:val="21"/>
              </w:rPr>
            </w:pPr>
            <w:r>
              <w:rPr>
                <w:rFonts w:hint="eastAsia" w:ascii="宋体" w:hAnsi="宋体"/>
                <w:szCs w:val="21"/>
              </w:rPr>
              <w:t>日期：   年   月   日</w:t>
            </w:r>
          </w:p>
        </w:tc>
      </w:tr>
    </w:tbl>
    <w:p>
      <w:pPr>
        <w:spacing w:line="240" w:lineRule="atLeast"/>
        <w:rPr>
          <w:rFonts w:ascii="宋体" w:hAnsi="宋体"/>
          <w:szCs w:val="21"/>
        </w:rPr>
      </w:pPr>
      <w:r>
        <w:rPr>
          <w:rFonts w:hint="eastAsia" w:ascii="宋体" w:hAnsi="宋体"/>
          <w:szCs w:val="21"/>
        </w:rPr>
        <w:t>说明：1、本表为采购单位向深圳市政府采购中心反映政府采购项目履约情况时所用；</w:t>
      </w:r>
    </w:p>
    <w:p>
      <w:pPr>
        <w:spacing w:line="240" w:lineRule="atLeast"/>
        <w:rPr>
          <w:rFonts w:ascii="宋体" w:hAnsi="宋体"/>
          <w:szCs w:val="21"/>
        </w:rPr>
      </w:pPr>
      <w:r>
        <w:rPr>
          <w:rFonts w:hint="eastAsia" w:ascii="宋体" w:hAnsi="宋体"/>
          <w:szCs w:val="21"/>
        </w:rPr>
        <w:t>2、履约情况评价分为优、良、中、差四个等级，请在对应的框前打“√”，然后在“具体情况说明”一栏详细说明有关情况。</w:t>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entury">
    <w:altName w:val="Times New Roman"/>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正黑简体">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文鼎粗黑">
    <w:altName w:val="微软雅黑"/>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汉仪细等线简">
    <w:altName w:val="宋体"/>
    <w:panose1 w:val="00000000000000000000"/>
    <w:charset w:val="86"/>
    <w:family w:val="auto"/>
    <w:pitch w:val="default"/>
    <w:sig w:usb0="00000000" w:usb1="00000000" w:usb2="00000012"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4</w:t>
    </w:r>
    <w:r>
      <w:rPr>
        <w:rStyle w:val="47"/>
      </w:rPr>
      <w:fldChar w:fldCharType="end"/>
    </w:r>
  </w:p>
  <w:p>
    <w:pPr>
      <w:pStyle w:val="28"/>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5"/>
    <w:multiLevelType w:val="multilevel"/>
    <w:tmpl w:val="00000025"/>
    <w:lvl w:ilvl="0" w:tentative="0">
      <w:start w:val="3"/>
      <w:numFmt w:val="japaneseCounting"/>
      <w:pStyle w:val="16"/>
      <w:lvlText w:val="第%1条"/>
      <w:lvlJc w:val="left"/>
      <w:pPr>
        <w:tabs>
          <w:tab w:val="left" w:pos="1530"/>
        </w:tabs>
        <w:ind w:left="1530" w:hanging="1170"/>
      </w:pPr>
      <w:rPr>
        <w:rFonts w:hint="default"/>
      </w:rPr>
    </w:lvl>
    <w:lvl w:ilvl="1" w:tentative="0">
      <w:start w:val="1"/>
      <w:numFmt w:val="lowerLetter"/>
      <w:pStyle w:val="134"/>
      <w:lvlText w:val="%2)"/>
      <w:lvlJc w:val="left"/>
      <w:pPr>
        <w:tabs>
          <w:tab w:val="left" w:pos="1200"/>
        </w:tabs>
        <w:ind w:left="1200" w:hanging="420"/>
      </w:pPr>
    </w:lvl>
    <w:lvl w:ilvl="2" w:tentative="0">
      <w:start w:val="1"/>
      <w:numFmt w:val="lowerRoman"/>
      <w:pStyle w:val="133"/>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2503483"/>
    <w:multiLevelType w:val="multilevel"/>
    <w:tmpl w:val="12503483"/>
    <w:lvl w:ilvl="0" w:tentative="0">
      <w:start w:val="1"/>
      <w:numFmt w:val="bullet"/>
      <w:pStyle w:val="218"/>
      <w:lvlText w:val=""/>
      <w:lvlJc w:val="left"/>
      <w:pPr>
        <w:tabs>
          <w:tab w:val="left" w:pos="420"/>
        </w:tabs>
        <w:ind w:left="420" w:hanging="420"/>
      </w:pPr>
      <w:rPr>
        <w:rFonts w:hint="default" w:ascii="Wingdings" w:hAnsi="Wingdings"/>
      </w:rPr>
    </w:lvl>
    <w:lvl w:ilvl="1" w:tentative="0">
      <w:start w:val="1"/>
      <w:numFmt w:val="bullet"/>
      <w:pStyle w:val="21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60D20D0"/>
    <w:multiLevelType w:val="multilevel"/>
    <w:tmpl w:val="160D20D0"/>
    <w:lvl w:ilvl="0" w:tentative="0">
      <w:start w:val="1"/>
      <w:numFmt w:val="bullet"/>
      <w:pStyle w:val="208"/>
      <w:lvlText w:val=""/>
      <w:lvlJc w:val="left"/>
      <w:pPr>
        <w:tabs>
          <w:tab w:val="left" w:pos="840"/>
        </w:tabs>
        <w:ind w:left="840" w:hanging="420"/>
      </w:pPr>
      <w:rPr>
        <w:rFonts w:hint="default" w:ascii="Wingdings" w:hAnsi="Wingdings"/>
      </w:rPr>
    </w:lvl>
    <w:lvl w:ilvl="1" w:tentative="0">
      <w:start w:val="1"/>
      <w:numFmt w:val="bullet"/>
      <w:pStyle w:val="20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18826DCE"/>
    <w:multiLevelType w:val="multilevel"/>
    <w:tmpl w:val="18826DCE"/>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0A548B"/>
    <w:multiLevelType w:val="multilevel"/>
    <w:tmpl w:val="190A548B"/>
    <w:lvl w:ilvl="0" w:tentative="0">
      <w:start w:val="1"/>
      <w:numFmt w:val="chineseCountingThousand"/>
      <w:pStyle w:val="121"/>
      <w:lvlText w:val="第%1章"/>
      <w:lvlJc w:val="left"/>
      <w:pPr>
        <w:ind w:left="0" w:firstLine="0"/>
      </w:pPr>
      <w:rPr>
        <w:rFonts w:hint="eastAsia" w:eastAsia="宋体"/>
        <w:b/>
        <w:i w:val="0"/>
        <w:sz w:val="44"/>
      </w:rPr>
    </w:lvl>
    <w:lvl w:ilvl="1" w:tentative="0">
      <w:start w:val="1"/>
      <w:numFmt w:val="decimal"/>
      <w:pStyle w:val="122"/>
      <w:isLgl/>
      <w:suff w:val="space"/>
      <w:lvlText w:val="%1.%2"/>
      <w:lvlJc w:val="left"/>
      <w:pPr>
        <w:ind w:left="0" w:firstLine="0"/>
      </w:pPr>
      <w:rPr>
        <w:rFonts w:hint="eastAsia" w:eastAsia="宋体"/>
        <w:b/>
        <w:i w:val="0"/>
        <w:color w:val="auto"/>
        <w:sz w:val="30"/>
        <w:szCs w:val="21"/>
      </w:rPr>
    </w:lvl>
    <w:lvl w:ilvl="2" w:tentative="0">
      <w:start w:val="1"/>
      <w:numFmt w:val="decimal"/>
      <w:pStyle w:val="123"/>
      <w:isLgl/>
      <w:suff w:val="space"/>
      <w:lvlText w:val="%1.%2.%3"/>
      <w:lvlJc w:val="left"/>
      <w:pPr>
        <w:ind w:left="0" w:firstLine="0"/>
      </w:pPr>
      <w:rPr>
        <w:rFonts w:hint="eastAsia" w:eastAsia="宋体"/>
        <w:b/>
        <w:i w:val="0"/>
        <w:sz w:val="28"/>
      </w:rPr>
    </w:lvl>
    <w:lvl w:ilvl="3" w:tentative="0">
      <w:start w:val="1"/>
      <w:numFmt w:val="decimal"/>
      <w:lvlText w:val="%1.%2.%3.%4"/>
      <w:lvlJc w:val="left"/>
      <w:pPr>
        <w:tabs>
          <w:tab w:val="left" w:pos="851"/>
        </w:tabs>
        <w:ind w:left="0" w:firstLine="0"/>
      </w:pPr>
      <w:rPr>
        <w:rFonts w:hint="eastAsia"/>
      </w:rPr>
    </w:lvl>
    <w:lvl w:ilvl="4" w:tentative="0">
      <w:start w:val="1"/>
      <w:numFmt w:val="decimal"/>
      <w:lvlText w:val="%1.%2.%3.%4.%5"/>
      <w:lvlJc w:val="left"/>
      <w:pPr>
        <w:tabs>
          <w:tab w:val="left" w:pos="851"/>
        </w:tabs>
        <w:ind w:left="0" w:firstLine="0"/>
      </w:pPr>
      <w:rPr>
        <w:rFonts w:hint="eastAsia"/>
      </w:rPr>
    </w:lvl>
    <w:lvl w:ilvl="5" w:tentative="0">
      <w:start w:val="1"/>
      <w:numFmt w:val="decimal"/>
      <w:lvlText w:val="%1.%2.%3.%4.%5.%6"/>
      <w:lvlJc w:val="left"/>
      <w:pPr>
        <w:tabs>
          <w:tab w:val="left" w:pos="851"/>
        </w:tabs>
        <w:ind w:left="0" w:firstLine="0"/>
      </w:pPr>
      <w:rPr>
        <w:rFonts w:hint="eastAsia"/>
      </w:rPr>
    </w:lvl>
    <w:lvl w:ilvl="6" w:tentative="0">
      <w:start w:val="1"/>
      <w:numFmt w:val="decimal"/>
      <w:lvlText w:val="%1.%2.%3.%4.%5.%6.%7"/>
      <w:lvlJc w:val="left"/>
      <w:pPr>
        <w:tabs>
          <w:tab w:val="left" w:pos="851"/>
        </w:tabs>
        <w:ind w:left="0" w:firstLine="0"/>
      </w:pPr>
      <w:rPr>
        <w:rFonts w:hint="eastAsia"/>
      </w:rPr>
    </w:lvl>
    <w:lvl w:ilvl="7" w:tentative="0">
      <w:start w:val="1"/>
      <w:numFmt w:val="decimal"/>
      <w:lvlText w:val="%1.%2.%3.%4.%5.%6.%7.%8"/>
      <w:lvlJc w:val="left"/>
      <w:pPr>
        <w:tabs>
          <w:tab w:val="left" w:pos="851"/>
        </w:tabs>
        <w:ind w:left="0" w:firstLine="0"/>
      </w:pPr>
      <w:rPr>
        <w:rFonts w:hint="eastAsia"/>
      </w:rPr>
    </w:lvl>
    <w:lvl w:ilvl="8" w:tentative="0">
      <w:start w:val="1"/>
      <w:numFmt w:val="decimal"/>
      <w:lvlText w:val="%1.%2.%3.%4.%5.%6.%7.%8.%9"/>
      <w:lvlJc w:val="left"/>
      <w:pPr>
        <w:tabs>
          <w:tab w:val="left" w:pos="851"/>
        </w:tabs>
        <w:ind w:left="0" w:firstLine="0"/>
      </w:pPr>
      <w:rPr>
        <w:rFonts w:hint="eastAsia"/>
      </w:rPr>
    </w:lvl>
  </w:abstractNum>
  <w:abstractNum w:abstractNumId="5">
    <w:nsid w:val="2F395B7B"/>
    <w:multiLevelType w:val="multilevel"/>
    <w:tmpl w:val="2F395B7B"/>
    <w:lvl w:ilvl="0" w:tentative="0">
      <w:start w:val="1"/>
      <w:numFmt w:val="bullet"/>
      <w:pStyle w:val="2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3146156C"/>
    <w:multiLevelType w:val="multilevel"/>
    <w:tmpl w:val="3146156C"/>
    <w:lvl w:ilvl="0" w:tentative="0">
      <w:start w:val="1"/>
      <w:numFmt w:val="decimal"/>
      <w:pStyle w:val="138"/>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33D690F"/>
    <w:multiLevelType w:val="multilevel"/>
    <w:tmpl w:val="333D690F"/>
    <w:lvl w:ilvl="0" w:tentative="0">
      <w:start w:val="1"/>
      <w:numFmt w:val="decimal"/>
      <w:pStyle w:val="13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3B363D98"/>
    <w:multiLevelType w:val="multilevel"/>
    <w:tmpl w:val="3B363D98"/>
    <w:lvl w:ilvl="0" w:tentative="0">
      <w:start w:val="1"/>
      <w:numFmt w:val="decimal"/>
      <w:pStyle w:val="15"/>
      <w:suff w:val="space"/>
      <w:lvlText w:val="图%1."/>
      <w:lvlJc w:val="left"/>
      <w:pPr>
        <w:ind w:left="2263" w:hanging="420"/>
      </w:pPr>
      <w:rPr>
        <w:rFonts w:hint="eastAsia" w:cs="Times New Roman"/>
        <w:b w:val="0"/>
        <w:bCs w:val="0"/>
        <w:i w:val="0"/>
        <w:iCs w:val="0"/>
        <w:caps w:val="0"/>
        <w:smallCaps w:val="0"/>
        <w:strike w:val="0"/>
        <w:dstrike w:val="0"/>
        <w:vanish w:val="0"/>
        <w:color w:val="000000"/>
        <w:spacing w:val="0"/>
        <w:position w:val="0"/>
        <w:sz w:val="24"/>
        <w:szCs w:val="24"/>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9">
    <w:nsid w:val="3C182DDE"/>
    <w:multiLevelType w:val="multilevel"/>
    <w:tmpl w:val="3C182DDE"/>
    <w:lvl w:ilvl="0" w:tentative="0">
      <w:start w:val="1"/>
      <w:numFmt w:val="decimal"/>
      <w:pStyle w:val="126"/>
      <w:lvlText w:val="图%1"/>
      <w:lvlJc w:val="left"/>
      <w:pPr>
        <w:ind w:left="0" w:firstLine="0"/>
      </w:pPr>
      <w:rPr>
        <w:rFonts w:hint="eastAsia" w:eastAsia="华文宋体"/>
        <w:b w:val="0"/>
        <w:i w:val="0"/>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3CD337A1"/>
    <w:multiLevelType w:val="multilevel"/>
    <w:tmpl w:val="3CD337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CA75A52"/>
    <w:multiLevelType w:val="multilevel"/>
    <w:tmpl w:val="4CA75A52"/>
    <w:lvl w:ilvl="0" w:tentative="0">
      <w:start w:val="1"/>
      <w:numFmt w:val="decimal"/>
      <w:pStyle w:val="137"/>
      <w:lvlText w:val="%1)"/>
      <w:lvlJc w:val="left"/>
      <w:pPr>
        <w:ind w:left="420" w:firstLine="0"/>
      </w:pPr>
      <w:rPr>
        <w:rFonts w:hint="default" w:ascii="Verdana" w:hAnsi="Verdana"/>
        <w:b w:val="0"/>
        <w:sz w:val="24"/>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8"/>
  </w:num>
  <w:num w:numId="2">
    <w:abstractNumId w:val="0"/>
  </w:num>
  <w:num w:numId="3">
    <w:abstractNumId w:val="4"/>
  </w:num>
  <w:num w:numId="4">
    <w:abstractNumId w:val="9"/>
  </w:num>
  <w:num w:numId="5">
    <w:abstractNumId w:val="7"/>
  </w:num>
  <w:num w:numId="6">
    <w:abstractNumId w:val="11"/>
  </w:num>
  <w:num w:numId="7">
    <w:abstractNumId w:val="6"/>
  </w:num>
  <w:num w:numId="8">
    <w:abstractNumId w:val="2"/>
  </w:num>
  <w:num w:numId="9">
    <w:abstractNumId w:val="1"/>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D3C"/>
    <w:rsid w:val="00000B85"/>
    <w:rsid w:val="00002117"/>
    <w:rsid w:val="00002131"/>
    <w:rsid w:val="0000255A"/>
    <w:rsid w:val="00002935"/>
    <w:rsid w:val="00010ADA"/>
    <w:rsid w:val="00010C4B"/>
    <w:rsid w:val="00010F1F"/>
    <w:rsid w:val="0001315E"/>
    <w:rsid w:val="00020324"/>
    <w:rsid w:val="00020B4A"/>
    <w:rsid w:val="0002174F"/>
    <w:rsid w:val="00021756"/>
    <w:rsid w:val="0002359E"/>
    <w:rsid w:val="000235B9"/>
    <w:rsid w:val="00023CE1"/>
    <w:rsid w:val="00024037"/>
    <w:rsid w:val="00025B68"/>
    <w:rsid w:val="000275BF"/>
    <w:rsid w:val="00027DA9"/>
    <w:rsid w:val="000301E0"/>
    <w:rsid w:val="000323AF"/>
    <w:rsid w:val="00034760"/>
    <w:rsid w:val="00036D07"/>
    <w:rsid w:val="0003727C"/>
    <w:rsid w:val="00040C02"/>
    <w:rsid w:val="00040C4D"/>
    <w:rsid w:val="00040C74"/>
    <w:rsid w:val="000411BD"/>
    <w:rsid w:val="00042F7A"/>
    <w:rsid w:val="000440D4"/>
    <w:rsid w:val="0004446C"/>
    <w:rsid w:val="00044668"/>
    <w:rsid w:val="00044B72"/>
    <w:rsid w:val="00046CA4"/>
    <w:rsid w:val="00047975"/>
    <w:rsid w:val="00051240"/>
    <w:rsid w:val="00053537"/>
    <w:rsid w:val="000537BC"/>
    <w:rsid w:val="00054913"/>
    <w:rsid w:val="00054CDA"/>
    <w:rsid w:val="00056085"/>
    <w:rsid w:val="00056BE7"/>
    <w:rsid w:val="00056E88"/>
    <w:rsid w:val="000570AB"/>
    <w:rsid w:val="000573EA"/>
    <w:rsid w:val="000578ED"/>
    <w:rsid w:val="00060BC5"/>
    <w:rsid w:val="00061539"/>
    <w:rsid w:val="000642C0"/>
    <w:rsid w:val="00064EF6"/>
    <w:rsid w:val="00065B2C"/>
    <w:rsid w:val="00066BE1"/>
    <w:rsid w:val="0006703A"/>
    <w:rsid w:val="0006744A"/>
    <w:rsid w:val="00067F97"/>
    <w:rsid w:val="0007009E"/>
    <w:rsid w:val="000708E1"/>
    <w:rsid w:val="000709F3"/>
    <w:rsid w:val="00071CAE"/>
    <w:rsid w:val="00072D64"/>
    <w:rsid w:val="000732FB"/>
    <w:rsid w:val="00074194"/>
    <w:rsid w:val="000750AE"/>
    <w:rsid w:val="0007616F"/>
    <w:rsid w:val="00076E7F"/>
    <w:rsid w:val="00081DFF"/>
    <w:rsid w:val="0008370E"/>
    <w:rsid w:val="00083BBC"/>
    <w:rsid w:val="00085A25"/>
    <w:rsid w:val="00085A27"/>
    <w:rsid w:val="00085DC1"/>
    <w:rsid w:val="0008611C"/>
    <w:rsid w:val="00086826"/>
    <w:rsid w:val="00086D58"/>
    <w:rsid w:val="00087043"/>
    <w:rsid w:val="00087879"/>
    <w:rsid w:val="00087EA4"/>
    <w:rsid w:val="00092A40"/>
    <w:rsid w:val="00094D17"/>
    <w:rsid w:val="0009578A"/>
    <w:rsid w:val="00095C95"/>
    <w:rsid w:val="00096B6B"/>
    <w:rsid w:val="00097CA3"/>
    <w:rsid w:val="000A011A"/>
    <w:rsid w:val="000A2FC9"/>
    <w:rsid w:val="000A375A"/>
    <w:rsid w:val="000A3983"/>
    <w:rsid w:val="000A5485"/>
    <w:rsid w:val="000A60D5"/>
    <w:rsid w:val="000A6773"/>
    <w:rsid w:val="000A6ECE"/>
    <w:rsid w:val="000A7032"/>
    <w:rsid w:val="000B024F"/>
    <w:rsid w:val="000B2F15"/>
    <w:rsid w:val="000B3524"/>
    <w:rsid w:val="000B3819"/>
    <w:rsid w:val="000B3D2E"/>
    <w:rsid w:val="000B49E9"/>
    <w:rsid w:val="000B4E1F"/>
    <w:rsid w:val="000C049B"/>
    <w:rsid w:val="000C29C8"/>
    <w:rsid w:val="000C33ED"/>
    <w:rsid w:val="000C3893"/>
    <w:rsid w:val="000C74DF"/>
    <w:rsid w:val="000D1BAD"/>
    <w:rsid w:val="000D203D"/>
    <w:rsid w:val="000D2153"/>
    <w:rsid w:val="000D275E"/>
    <w:rsid w:val="000D2E15"/>
    <w:rsid w:val="000D3F56"/>
    <w:rsid w:val="000D5C4D"/>
    <w:rsid w:val="000D6792"/>
    <w:rsid w:val="000D6DB0"/>
    <w:rsid w:val="000D7BAE"/>
    <w:rsid w:val="000E1D9A"/>
    <w:rsid w:val="000E2079"/>
    <w:rsid w:val="000E38A1"/>
    <w:rsid w:val="000E4D81"/>
    <w:rsid w:val="000F15C7"/>
    <w:rsid w:val="000F1E07"/>
    <w:rsid w:val="000F261D"/>
    <w:rsid w:val="000F400A"/>
    <w:rsid w:val="000F45B2"/>
    <w:rsid w:val="000F4AC2"/>
    <w:rsid w:val="000F5A48"/>
    <w:rsid w:val="000F64EA"/>
    <w:rsid w:val="000F686C"/>
    <w:rsid w:val="000F713E"/>
    <w:rsid w:val="000F74F3"/>
    <w:rsid w:val="00102479"/>
    <w:rsid w:val="00103A54"/>
    <w:rsid w:val="00103E02"/>
    <w:rsid w:val="001051CC"/>
    <w:rsid w:val="00106342"/>
    <w:rsid w:val="00106746"/>
    <w:rsid w:val="001079CB"/>
    <w:rsid w:val="00110A2F"/>
    <w:rsid w:val="00110B4D"/>
    <w:rsid w:val="0011308B"/>
    <w:rsid w:val="001132F7"/>
    <w:rsid w:val="00113F47"/>
    <w:rsid w:val="00115057"/>
    <w:rsid w:val="00115E6E"/>
    <w:rsid w:val="00116049"/>
    <w:rsid w:val="00116455"/>
    <w:rsid w:val="00116D3E"/>
    <w:rsid w:val="00117761"/>
    <w:rsid w:val="001215FB"/>
    <w:rsid w:val="00122372"/>
    <w:rsid w:val="001224B1"/>
    <w:rsid w:val="00122630"/>
    <w:rsid w:val="00125B33"/>
    <w:rsid w:val="00133D7C"/>
    <w:rsid w:val="00134020"/>
    <w:rsid w:val="00135828"/>
    <w:rsid w:val="00137DA9"/>
    <w:rsid w:val="0014250D"/>
    <w:rsid w:val="00142EED"/>
    <w:rsid w:val="00143729"/>
    <w:rsid w:val="001438EF"/>
    <w:rsid w:val="00143BE1"/>
    <w:rsid w:val="00144C60"/>
    <w:rsid w:val="00145FF2"/>
    <w:rsid w:val="00146200"/>
    <w:rsid w:val="00146FBA"/>
    <w:rsid w:val="001473DF"/>
    <w:rsid w:val="001504C6"/>
    <w:rsid w:val="00150864"/>
    <w:rsid w:val="00150FCF"/>
    <w:rsid w:val="00151E9C"/>
    <w:rsid w:val="00152325"/>
    <w:rsid w:val="00155CFC"/>
    <w:rsid w:val="0015653F"/>
    <w:rsid w:val="00162607"/>
    <w:rsid w:val="001631B7"/>
    <w:rsid w:val="00164D8C"/>
    <w:rsid w:val="001658D3"/>
    <w:rsid w:val="00165C4C"/>
    <w:rsid w:val="00166324"/>
    <w:rsid w:val="00166370"/>
    <w:rsid w:val="00166F09"/>
    <w:rsid w:val="0016784D"/>
    <w:rsid w:val="001678FB"/>
    <w:rsid w:val="00167A87"/>
    <w:rsid w:val="00167FAB"/>
    <w:rsid w:val="001703F1"/>
    <w:rsid w:val="001710AF"/>
    <w:rsid w:val="00171D1D"/>
    <w:rsid w:val="0017204E"/>
    <w:rsid w:val="00172774"/>
    <w:rsid w:val="0017297C"/>
    <w:rsid w:val="001734F6"/>
    <w:rsid w:val="00173D93"/>
    <w:rsid w:val="00173F6F"/>
    <w:rsid w:val="001742CA"/>
    <w:rsid w:val="00174633"/>
    <w:rsid w:val="00174715"/>
    <w:rsid w:val="00180760"/>
    <w:rsid w:val="00180911"/>
    <w:rsid w:val="00182BD4"/>
    <w:rsid w:val="00183BE7"/>
    <w:rsid w:val="001840F2"/>
    <w:rsid w:val="001902DD"/>
    <w:rsid w:val="00190C10"/>
    <w:rsid w:val="00191DAD"/>
    <w:rsid w:val="00193EDF"/>
    <w:rsid w:val="001947C8"/>
    <w:rsid w:val="001961B9"/>
    <w:rsid w:val="00196320"/>
    <w:rsid w:val="00196340"/>
    <w:rsid w:val="00196397"/>
    <w:rsid w:val="001967F6"/>
    <w:rsid w:val="00197ACF"/>
    <w:rsid w:val="001A033E"/>
    <w:rsid w:val="001A19B5"/>
    <w:rsid w:val="001A24F0"/>
    <w:rsid w:val="001A2C2B"/>
    <w:rsid w:val="001A2EB0"/>
    <w:rsid w:val="001A3238"/>
    <w:rsid w:val="001A47FE"/>
    <w:rsid w:val="001A4F03"/>
    <w:rsid w:val="001B01AF"/>
    <w:rsid w:val="001B0990"/>
    <w:rsid w:val="001B320B"/>
    <w:rsid w:val="001B4D81"/>
    <w:rsid w:val="001B54BB"/>
    <w:rsid w:val="001B61C5"/>
    <w:rsid w:val="001C022B"/>
    <w:rsid w:val="001C0BB2"/>
    <w:rsid w:val="001C3317"/>
    <w:rsid w:val="001C464C"/>
    <w:rsid w:val="001C4AF2"/>
    <w:rsid w:val="001C582A"/>
    <w:rsid w:val="001D0CF8"/>
    <w:rsid w:val="001D1001"/>
    <w:rsid w:val="001D1243"/>
    <w:rsid w:val="001D19A0"/>
    <w:rsid w:val="001D1B3A"/>
    <w:rsid w:val="001D21DA"/>
    <w:rsid w:val="001D2BC3"/>
    <w:rsid w:val="001D2CD3"/>
    <w:rsid w:val="001D4B5D"/>
    <w:rsid w:val="001D4E3B"/>
    <w:rsid w:val="001D68EC"/>
    <w:rsid w:val="001E0584"/>
    <w:rsid w:val="001E3063"/>
    <w:rsid w:val="001E4EDE"/>
    <w:rsid w:val="001E6F84"/>
    <w:rsid w:val="001E72E3"/>
    <w:rsid w:val="001F00D4"/>
    <w:rsid w:val="001F0451"/>
    <w:rsid w:val="001F09C5"/>
    <w:rsid w:val="001F31DE"/>
    <w:rsid w:val="001F4075"/>
    <w:rsid w:val="001F4F8E"/>
    <w:rsid w:val="001F54A0"/>
    <w:rsid w:val="001F6371"/>
    <w:rsid w:val="001F6388"/>
    <w:rsid w:val="001F6E44"/>
    <w:rsid w:val="001F7AED"/>
    <w:rsid w:val="001F7B5C"/>
    <w:rsid w:val="00201DA6"/>
    <w:rsid w:val="00202688"/>
    <w:rsid w:val="00202A1F"/>
    <w:rsid w:val="00202CC3"/>
    <w:rsid w:val="002034A8"/>
    <w:rsid w:val="0020594E"/>
    <w:rsid w:val="00210624"/>
    <w:rsid w:val="002118EB"/>
    <w:rsid w:val="0021426F"/>
    <w:rsid w:val="00214D32"/>
    <w:rsid w:val="00216C09"/>
    <w:rsid w:val="0021742F"/>
    <w:rsid w:val="002175AB"/>
    <w:rsid w:val="00221C82"/>
    <w:rsid w:val="00222BAC"/>
    <w:rsid w:val="00222C2E"/>
    <w:rsid w:val="0022365A"/>
    <w:rsid w:val="00224E26"/>
    <w:rsid w:val="00225994"/>
    <w:rsid w:val="002314F7"/>
    <w:rsid w:val="002334FD"/>
    <w:rsid w:val="0023371F"/>
    <w:rsid w:val="0023376A"/>
    <w:rsid w:val="002341D8"/>
    <w:rsid w:val="00236CF8"/>
    <w:rsid w:val="002373F0"/>
    <w:rsid w:val="00237755"/>
    <w:rsid w:val="002418EB"/>
    <w:rsid w:val="00245A8F"/>
    <w:rsid w:val="00245E65"/>
    <w:rsid w:val="00250545"/>
    <w:rsid w:val="00250CB7"/>
    <w:rsid w:val="0025146A"/>
    <w:rsid w:val="0025349A"/>
    <w:rsid w:val="00253500"/>
    <w:rsid w:val="002546DA"/>
    <w:rsid w:val="00256B46"/>
    <w:rsid w:val="00261102"/>
    <w:rsid w:val="00261733"/>
    <w:rsid w:val="00262720"/>
    <w:rsid w:val="0026656A"/>
    <w:rsid w:val="002671D8"/>
    <w:rsid w:val="002703C3"/>
    <w:rsid w:val="002709C8"/>
    <w:rsid w:val="00270C9A"/>
    <w:rsid w:val="00271A5A"/>
    <w:rsid w:val="002736EA"/>
    <w:rsid w:val="00273905"/>
    <w:rsid w:val="00274769"/>
    <w:rsid w:val="002754DA"/>
    <w:rsid w:val="00276811"/>
    <w:rsid w:val="002769CA"/>
    <w:rsid w:val="002774CF"/>
    <w:rsid w:val="00280D8F"/>
    <w:rsid w:val="00281326"/>
    <w:rsid w:val="00282DBB"/>
    <w:rsid w:val="00290E3D"/>
    <w:rsid w:val="00292E27"/>
    <w:rsid w:val="002933FC"/>
    <w:rsid w:val="00293795"/>
    <w:rsid w:val="00295051"/>
    <w:rsid w:val="0029603E"/>
    <w:rsid w:val="00296A8A"/>
    <w:rsid w:val="00296C0F"/>
    <w:rsid w:val="002A0711"/>
    <w:rsid w:val="002A0820"/>
    <w:rsid w:val="002A1068"/>
    <w:rsid w:val="002A29D1"/>
    <w:rsid w:val="002A37E0"/>
    <w:rsid w:val="002A586B"/>
    <w:rsid w:val="002A687F"/>
    <w:rsid w:val="002A7359"/>
    <w:rsid w:val="002B036E"/>
    <w:rsid w:val="002B0D74"/>
    <w:rsid w:val="002B0DB2"/>
    <w:rsid w:val="002B3748"/>
    <w:rsid w:val="002B573D"/>
    <w:rsid w:val="002B5C8E"/>
    <w:rsid w:val="002B669A"/>
    <w:rsid w:val="002B6A3A"/>
    <w:rsid w:val="002B6FD5"/>
    <w:rsid w:val="002B70C8"/>
    <w:rsid w:val="002C07F0"/>
    <w:rsid w:val="002C1FF0"/>
    <w:rsid w:val="002C21A8"/>
    <w:rsid w:val="002C4DED"/>
    <w:rsid w:val="002D2F3A"/>
    <w:rsid w:val="002D352D"/>
    <w:rsid w:val="002E0A4E"/>
    <w:rsid w:val="002E0DE3"/>
    <w:rsid w:val="002E1C07"/>
    <w:rsid w:val="002E48AB"/>
    <w:rsid w:val="002E50A3"/>
    <w:rsid w:val="002E7A1D"/>
    <w:rsid w:val="002E7BC3"/>
    <w:rsid w:val="002F08A2"/>
    <w:rsid w:val="002F203D"/>
    <w:rsid w:val="002F7183"/>
    <w:rsid w:val="00301D79"/>
    <w:rsid w:val="00303063"/>
    <w:rsid w:val="00304864"/>
    <w:rsid w:val="00305297"/>
    <w:rsid w:val="003052D4"/>
    <w:rsid w:val="00306813"/>
    <w:rsid w:val="0030686C"/>
    <w:rsid w:val="0030714E"/>
    <w:rsid w:val="00310260"/>
    <w:rsid w:val="0031043D"/>
    <w:rsid w:val="00310604"/>
    <w:rsid w:val="00310C0F"/>
    <w:rsid w:val="00310D8D"/>
    <w:rsid w:val="00311102"/>
    <w:rsid w:val="0031229C"/>
    <w:rsid w:val="00312390"/>
    <w:rsid w:val="003126E7"/>
    <w:rsid w:val="00314920"/>
    <w:rsid w:val="00315123"/>
    <w:rsid w:val="00315C43"/>
    <w:rsid w:val="00316B10"/>
    <w:rsid w:val="00317674"/>
    <w:rsid w:val="00317BA8"/>
    <w:rsid w:val="00322495"/>
    <w:rsid w:val="00322905"/>
    <w:rsid w:val="00323597"/>
    <w:rsid w:val="00323A33"/>
    <w:rsid w:val="00324360"/>
    <w:rsid w:val="00324BAE"/>
    <w:rsid w:val="0032633F"/>
    <w:rsid w:val="00326347"/>
    <w:rsid w:val="00326934"/>
    <w:rsid w:val="00327449"/>
    <w:rsid w:val="003275ED"/>
    <w:rsid w:val="00330320"/>
    <w:rsid w:val="00334A6D"/>
    <w:rsid w:val="003353A9"/>
    <w:rsid w:val="00336232"/>
    <w:rsid w:val="0034103B"/>
    <w:rsid w:val="003438AD"/>
    <w:rsid w:val="00344780"/>
    <w:rsid w:val="00346207"/>
    <w:rsid w:val="003466C8"/>
    <w:rsid w:val="00347BBC"/>
    <w:rsid w:val="00347F69"/>
    <w:rsid w:val="0035040B"/>
    <w:rsid w:val="00352211"/>
    <w:rsid w:val="0035566B"/>
    <w:rsid w:val="003557C9"/>
    <w:rsid w:val="00355C77"/>
    <w:rsid w:val="00361EF6"/>
    <w:rsid w:val="00362B53"/>
    <w:rsid w:val="00362E8C"/>
    <w:rsid w:val="00363176"/>
    <w:rsid w:val="0037099E"/>
    <w:rsid w:val="003712A3"/>
    <w:rsid w:val="00371A94"/>
    <w:rsid w:val="003723CF"/>
    <w:rsid w:val="003726AE"/>
    <w:rsid w:val="00372B5F"/>
    <w:rsid w:val="00372E11"/>
    <w:rsid w:val="00377C48"/>
    <w:rsid w:val="0038190D"/>
    <w:rsid w:val="00382AD4"/>
    <w:rsid w:val="00382B3E"/>
    <w:rsid w:val="00385EB8"/>
    <w:rsid w:val="00387505"/>
    <w:rsid w:val="00391579"/>
    <w:rsid w:val="0039173A"/>
    <w:rsid w:val="00394BB4"/>
    <w:rsid w:val="003954F3"/>
    <w:rsid w:val="003959E1"/>
    <w:rsid w:val="00397A70"/>
    <w:rsid w:val="00397E58"/>
    <w:rsid w:val="003A22BD"/>
    <w:rsid w:val="003A2D3B"/>
    <w:rsid w:val="003A65EC"/>
    <w:rsid w:val="003B0F04"/>
    <w:rsid w:val="003B1EDF"/>
    <w:rsid w:val="003B4B9B"/>
    <w:rsid w:val="003B585A"/>
    <w:rsid w:val="003B64B7"/>
    <w:rsid w:val="003B7E92"/>
    <w:rsid w:val="003C468D"/>
    <w:rsid w:val="003C5CBE"/>
    <w:rsid w:val="003C6C8F"/>
    <w:rsid w:val="003D2D31"/>
    <w:rsid w:val="003D535C"/>
    <w:rsid w:val="003D6213"/>
    <w:rsid w:val="003D687D"/>
    <w:rsid w:val="003D7F61"/>
    <w:rsid w:val="003E2A1F"/>
    <w:rsid w:val="003E48BE"/>
    <w:rsid w:val="003E5421"/>
    <w:rsid w:val="003E612C"/>
    <w:rsid w:val="003E64F8"/>
    <w:rsid w:val="003E6D76"/>
    <w:rsid w:val="003E79F1"/>
    <w:rsid w:val="003F02A1"/>
    <w:rsid w:val="003F03CD"/>
    <w:rsid w:val="003F1B53"/>
    <w:rsid w:val="003F38F3"/>
    <w:rsid w:val="003F4044"/>
    <w:rsid w:val="003F48A5"/>
    <w:rsid w:val="003F5B3B"/>
    <w:rsid w:val="003F5F53"/>
    <w:rsid w:val="003F6C93"/>
    <w:rsid w:val="00401F97"/>
    <w:rsid w:val="004026A6"/>
    <w:rsid w:val="004034AD"/>
    <w:rsid w:val="00403C47"/>
    <w:rsid w:val="00405348"/>
    <w:rsid w:val="004103A8"/>
    <w:rsid w:val="004120E9"/>
    <w:rsid w:val="00412455"/>
    <w:rsid w:val="00413B62"/>
    <w:rsid w:val="0041432B"/>
    <w:rsid w:val="004147DA"/>
    <w:rsid w:val="00414966"/>
    <w:rsid w:val="00420ECC"/>
    <w:rsid w:val="004235A2"/>
    <w:rsid w:val="0042403C"/>
    <w:rsid w:val="00424551"/>
    <w:rsid w:val="00425509"/>
    <w:rsid w:val="00425ACA"/>
    <w:rsid w:val="004271F2"/>
    <w:rsid w:val="004330DC"/>
    <w:rsid w:val="0043331A"/>
    <w:rsid w:val="00434228"/>
    <w:rsid w:val="00435897"/>
    <w:rsid w:val="0044114A"/>
    <w:rsid w:val="00442041"/>
    <w:rsid w:val="00442190"/>
    <w:rsid w:val="00446E5C"/>
    <w:rsid w:val="00446F8D"/>
    <w:rsid w:val="00447B0D"/>
    <w:rsid w:val="00450F54"/>
    <w:rsid w:val="00453229"/>
    <w:rsid w:val="0045438C"/>
    <w:rsid w:val="00456D89"/>
    <w:rsid w:val="00457A72"/>
    <w:rsid w:val="004625D8"/>
    <w:rsid w:val="004633DA"/>
    <w:rsid w:val="004651D5"/>
    <w:rsid w:val="00465E70"/>
    <w:rsid w:val="00466C86"/>
    <w:rsid w:val="00467244"/>
    <w:rsid w:val="00467290"/>
    <w:rsid w:val="00470B93"/>
    <w:rsid w:val="00470F3B"/>
    <w:rsid w:val="00471968"/>
    <w:rsid w:val="00475156"/>
    <w:rsid w:val="0048017C"/>
    <w:rsid w:val="0048087C"/>
    <w:rsid w:val="004825D7"/>
    <w:rsid w:val="00483614"/>
    <w:rsid w:val="004857D4"/>
    <w:rsid w:val="00485876"/>
    <w:rsid w:val="00485C45"/>
    <w:rsid w:val="00486128"/>
    <w:rsid w:val="00486246"/>
    <w:rsid w:val="004870B1"/>
    <w:rsid w:val="00490092"/>
    <w:rsid w:val="00491835"/>
    <w:rsid w:val="004920DA"/>
    <w:rsid w:val="00492618"/>
    <w:rsid w:val="004929B4"/>
    <w:rsid w:val="004935C3"/>
    <w:rsid w:val="00493CDB"/>
    <w:rsid w:val="00494325"/>
    <w:rsid w:val="004948CD"/>
    <w:rsid w:val="00494D17"/>
    <w:rsid w:val="00495020"/>
    <w:rsid w:val="004952F1"/>
    <w:rsid w:val="004A0D0D"/>
    <w:rsid w:val="004A0FE6"/>
    <w:rsid w:val="004A10CE"/>
    <w:rsid w:val="004A1764"/>
    <w:rsid w:val="004A299A"/>
    <w:rsid w:val="004A3467"/>
    <w:rsid w:val="004A3A80"/>
    <w:rsid w:val="004A3CD8"/>
    <w:rsid w:val="004A3E7D"/>
    <w:rsid w:val="004A4BDB"/>
    <w:rsid w:val="004A6272"/>
    <w:rsid w:val="004A6ABA"/>
    <w:rsid w:val="004B0760"/>
    <w:rsid w:val="004B0BBA"/>
    <w:rsid w:val="004B285E"/>
    <w:rsid w:val="004B4577"/>
    <w:rsid w:val="004B5945"/>
    <w:rsid w:val="004B7512"/>
    <w:rsid w:val="004B78B5"/>
    <w:rsid w:val="004C0A07"/>
    <w:rsid w:val="004C110D"/>
    <w:rsid w:val="004C2EA4"/>
    <w:rsid w:val="004C34BF"/>
    <w:rsid w:val="004C385B"/>
    <w:rsid w:val="004C47EE"/>
    <w:rsid w:val="004C5261"/>
    <w:rsid w:val="004C5C9B"/>
    <w:rsid w:val="004C6694"/>
    <w:rsid w:val="004C7A1D"/>
    <w:rsid w:val="004D23FC"/>
    <w:rsid w:val="004D2EC0"/>
    <w:rsid w:val="004D428A"/>
    <w:rsid w:val="004D4EAD"/>
    <w:rsid w:val="004D6AAF"/>
    <w:rsid w:val="004E0644"/>
    <w:rsid w:val="004E25E1"/>
    <w:rsid w:val="004E26F4"/>
    <w:rsid w:val="004E3127"/>
    <w:rsid w:val="004E3C20"/>
    <w:rsid w:val="004E51A9"/>
    <w:rsid w:val="004E5FD8"/>
    <w:rsid w:val="004F0297"/>
    <w:rsid w:val="004F1A59"/>
    <w:rsid w:val="004F32F6"/>
    <w:rsid w:val="004F4223"/>
    <w:rsid w:val="004F5B89"/>
    <w:rsid w:val="005007A5"/>
    <w:rsid w:val="00500879"/>
    <w:rsid w:val="005024CB"/>
    <w:rsid w:val="00503FF8"/>
    <w:rsid w:val="0050438C"/>
    <w:rsid w:val="00504805"/>
    <w:rsid w:val="005049E6"/>
    <w:rsid w:val="00504D85"/>
    <w:rsid w:val="00505568"/>
    <w:rsid w:val="00505B33"/>
    <w:rsid w:val="0050631C"/>
    <w:rsid w:val="00512C5B"/>
    <w:rsid w:val="00513EAE"/>
    <w:rsid w:val="005161B9"/>
    <w:rsid w:val="00517F50"/>
    <w:rsid w:val="00521DDE"/>
    <w:rsid w:val="00522E9B"/>
    <w:rsid w:val="00526CB5"/>
    <w:rsid w:val="00526EDB"/>
    <w:rsid w:val="00531203"/>
    <w:rsid w:val="00532017"/>
    <w:rsid w:val="00533886"/>
    <w:rsid w:val="005358D0"/>
    <w:rsid w:val="00536D3F"/>
    <w:rsid w:val="005439CB"/>
    <w:rsid w:val="005448B3"/>
    <w:rsid w:val="00544E68"/>
    <w:rsid w:val="005452C9"/>
    <w:rsid w:val="00545336"/>
    <w:rsid w:val="0054720C"/>
    <w:rsid w:val="00547847"/>
    <w:rsid w:val="00552475"/>
    <w:rsid w:val="00552DD9"/>
    <w:rsid w:val="00552ECD"/>
    <w:rsid w:val="00553C83"/>
    <w:rsid w:val="00553FCC"/>
    <w:rsid w:val="00554C44"/>
    <w:rsid w:val="0055658E"/>
    <w:rsid w:val="00557043"/>
    <w:rsid w:val="005576AB"/>
    <w:rsid w:val="00562D4C"/>
    <w:rsid w:val="005630A2"/>
    <w:rsid w:val="005639AD"/>
    <w:rsid w:val="0056611B"/>
    <w:rsid w:val="00567676"/>
    <w:rsid w:val="00572809"/>
    <w:rsid w:val="00575EC8"/>
    <w:rsid w:val="00575EEB"/>
    <w:rsid w:val="00576194"/>
    <w:rsid w:val="00580938"/>
    <w:rsid w:val="00583208"/>
    <w:rsid w:val="005839FA"/>
    <w:rsid w:val="00585023"/>
    <w:rsid w:val="00585135"/>
    <w:rsid w:val="005866EE"/>
    <w:rsid w:val="00587E2C"/>
    <w:rsid w:val="00587E2F"/>
    <w:rsid w:val="0059002A"/>
    <w:rsid w:val="00592425"/>
    <w:rsid w:val="005931F7"/>
    <w:rsid w:val="00593D7E"/>
    <w:rsid w:val="00594560"/>
    <w:rsid w:val="0059611E"/>
    <w:rsid w:val="00596ED8"/>
    <w:rsid w:val="00597B44"/>
    <w:rsid w:val="00597B9A"/>
    <w:rsid w:val="005A2297"/>
    <w:rsid w:val="005A29A0"/>
    <w:rsid w:val="005A2C1B"/>
    <w:rsid w:val="005A3C49"/>
    <w:rsid w:val="005A4E83"/>
    <w:rsid w:val="005A77EA"/>
    <w:rsid w:val="005B0E0D"/>
    <w:rsid w:val="005B0EAF"/>
    <w:rsid w:val="005B14CA"/>
    <w:rsid w:val="005B3CD4"/>
    <w:rsid w:val="005B3DF2"/>
    <w:rsid w:val="005B40A2"/>
    <w:rsid w:val="005B4140"/>
    <w:rsid w:val="005B4EA9"/>
    <w:rsid w:val="005B5A1D"/>
    <w:rsid w:val="005B5A62"/>
    <w:rsid w:val="005B67ED"/>
    <w:rsid w:val="005B7BCF"/>
    <w:rsid w:val="005C008D"/>
    <w:rsid w:val="005C0BFB"/>
    <w:rsid w:val="005C28EA"/>
    <w:rsid w:val="005C35FA"/>
    <w:rsid w:val="005C5336"/>
    <w:rsid w:val="005D08AD"/>
    <w:rsid w:val="005D09A0"/>
    <w:rsid w:val="005D1FA6"/>
    <w:rsid w:val="005D2129"/>
    <w:rsid w:val="005D306A"/>
    <w:rsid w:val="005D6E22"/>
    <w:rsid w:val="005D7F2C"/>
    <w:rsid w:val="005E02DF"/>
    <w:rsid w:val="005E0BD9"/>
    <w:rsid w:val="005E0C30"/>
    <w:rsid w:val="005E1D31"/>
    <w:rsid w:val="005E2307"/>
    <w:rsid w:val="005E2430"/>
    <w:rsid w:val="005E259A"/>
    <w:rsid w:val="005E4B22"/>
    <w:rsid w:val="005E5FD4"/>
    <w:rsid w:val="005E6864"/>
    <w:rsid w:val="005F0ED0"/>
    <w:rsid w:val="005F2044"/>
    <w:rsid w:val="005F2598"/>
    <w:rsid w:val="005F3FB3"/>
    <w:rsid w:val="005F3FE7"/>
    <w:rsid w:val="005F5F1A"/>
    <w:rsid w:val="005F6395"/>
    <w:rsid w:val="005F779F"/>
    <w:rsid w:val="005F789B"/>
    <w:rsid w:val="006004A8"/>
    <w:rsid w:val="00600D2A"/>
    <w:rsid w:val="00605E6D"/>
    <w:rsid w:val="0060603A"/>
    <w:rsid w:val="006104CE"/>
    <w:rsid w:val="00610E90"/>
    <w:rsid w:val="0061153F"/>
    <w:rsid w:val="0061266A"/>
    <w:rsid w:val="00613134"/>
    <w:rsid w:val="006170EE"/>
    <w:rsid w:val="0062084E"/>
    <w:rsid w:val="0062116E"/>
    <w:rsid w:val="00621844"/>
    <w:rsid w:val="00624A01"/>
    <w:rsid w:val="006262CF"/>
    <w:rsid w:val="00627FC5"/>
    <w:rsid w:val="006304A1"/>
    <w:rsid w:val="00634F51"/>
    <w:rsid w:val="00640933"/>
    <w:rsid w:val="00640ED1"/>
    <w:rsid w:val="00641631"/>
    <w:rsid w:val="0064167C"/>
    <w:rsid w:val="00641D6F"/>
    <w:rsid w:val="006420A3"/>
    <w:rsid w:val="00643831"/>
    <w:rsid w:val="006439C7"/>
    <w:rsid w:val="00644A8A"/>
    <w:rsid w:val="00646941"/>
    <w:rsid w:val="006531F7"/>
    <w:rsid w:val="00653C2B"/>
    <w:rsid w:val="00653C9B"/>
    <w:rsid w:val="00653D71"/>
    <w:rsid w:val="00654F02"/>
    <w:rsid w:val="00657AE7"/>
    <w:rsid w:val="0066016E"/>
    <w:rsid w:val="006608C2"/>
    <w:rsid w:val="00661778"/>
    <w:rsid w:val="00661F8A"/>
    <w:rsid w:val="00661FF1"/>
    <w:rsid w:val="006645C7"/>
    <w:rsid w:val="00664DDE"/>
    <w:rsid w:val="00665FB8"/>
    <w:rsid w:val="00666370"/>
    <w:rsid w:val="0066640F"/>
    <w:rsid w:val="00667DAE"/>
    <w:rsid w:val="006715AA"/>
    <w:rsid w:val="00682D57"/>
    <w:rsid w:val="00683AC5"/>
    <w:rsid w:val="006856B4"/>
    <w:rsid w:val="00685A2A"/>
    <w:rsid w:val="00686866"/>
    <w:rsid w:val="00686C31"/>
    <w:rsid w:val="006878FA"/>
    <w:rsid w:val="00690F98"/>
    <w:rsid w:val="0069116B"/>
    <w:rsid w:val="006914F2"/>
    <w:rsid w:val="00692B31"/>
    <w:rsid w:val="0069521E"/>
    <w:rsid w:val="006969B5"/>
    <w:rsid w:val="00697BE5"/>
    <w:rsid w:val="00697DC5"/>
    <w:rsid w:val="006A00CE"/>
    <w:rsid w:val="006A1651"/>
    <w:rsid w:val="006A20C3"/>
    <w:rsid w:val="006A2F9F"/>
    <w:rsid w:val="006A304A"/>
    <w:rsid w:val="006A5479"/>
    <w:rsid w:val="006A5C74"/>
    <w:rsid w:val="006A7DF3"/>
    <w:rsid w:val="006B20BC"/>
    <w:rsid w:val="006B25FA"/>
    <w:rsid w:val="006B2F4F"/>
    <w:rsid w:val="006B4871"/>
    <w:rsid w:val="006B680E"/>
    <w:rsid w:val="006B6912"/>
    <w:rsid w:val="006C468F"/>
    <w:rsid w:val="006C7C52"/>
    <w:rsid w:val="006D0E35"/>
    <w:rsid w:val="006D178C"/>
    <w:rsid w:val="006D1975"/>
    <w:rsid w:val="006D2668"/>
    <w:rsid w:val="006D553C"/>
    <w:rsid w:val="006D65CA"/>
    <w:rsid w:val="006E04A8"/>
    <w:rsid w:val="006E481B"/>
    <w:rsid w:val="006E55F3"/>
    <w:rsid w:val="006E6534"/>
    <w:rsid w:val="006F1D50"/>
    <w:rsid w:val="006F3144"/>
    <w:rsid w:val="006F324F"/>
    <w:rsid w:val="006F33CB"/>
    <w:rsid w:val="006F38A2"/>
    <w:rsid w:val="006F3DB4"/>
    <w:rsid w:val="006F4B1C"/>
    <w:rsid w:val="006F5D87"/>
    <w:rsid w:val="006F7BFF"/>
    <w:rsid w:val="006F7C29"/>
    <w:rsid w:val="00701355"/>
    <w:rsid w:val="00702E13"/>
    <w:rsid w:val="00703CE8"/>
    <w:rsid w:val="00703F66"/>
    <w:rsid w:val="007078B1"/>
    <w:rsid w:val="007121E8"/>
    <w:rsid w:val="0071265A"/>
    <w:rsid w:val="0071346D"/>
    <w:rsid w:val="0071501C"/>
    <w:rsid w:val="007152B7"/>
    <w:rsid w:val="00716586"/>
    <w:rsid w:val="007173C7"/>
    <w:rsid w:val="00720159"/>
    <w:rsid w:val="0072047A"/>
    <w:rsid w:val="00722F5A"/>
    <w:rsid w:val="007238A3"/>
    <w:rsid w:val="007256D6"/>
    <w:rsid w:val="00725BC3"/>
    <w:rsid w:val="00726D3F"/>
    <w:rsid w:val="00726E01"/>
    <w:rsid w:val="00731AF0"/>
    <w:rsid w:val="0073306A"/>
    <w:rsid w:val="00733948"/>
    <w:rsid w:val="00733F72"/>
    <w:rsid w:val="00734BF6"/>
    <w:rsid w:val="00735A19"/>
    <w:rsid w:val="00740FB5"/>
    <w:rsid w:val="00741913"/>
    <w:rsid w:val="00742FE9"/>
    <w:rsid w:val="00743B9A"/>
    <w:rsid w:val="0074476A"/>
    <w:rsid w:val="00745215"/>
    <w:rsid w:val="007453AC"/>
    <w:rsid w:val="0074636C"/>
    <w:rsid w:val="0074663B"/>
    <w:rsid w:val="00751580"/>
    <w:rsid w:val="00752E4C"/>
    <w:rsid w:val="00753E2C"/>
    <w:rsid w:val="007541FE"/>
    <w:rsid w:val="00755D32"/>
    <w:rsid w:val="0075656E"/>
    <w:rsid w:val="0075761C"/>
    <w:rsid w:val="00760027"/>
    <w:rsid w:val="00760463"/>
    <w:rsid w:val="00761D7E"/>
    <w:rsid w:val="007622D5"/>
    <w:rsid w:val="00762FF4"/>
    <w:rsid w:val="00763F61"/>
    <w:rsid w:val="0076630E"/>
    <w:rsid w:val="00767FE4"/>
    <w:rsid w:val="0077056B"/>
    <w:rsid w:val="007751F8"/>
    <w:rsid w:val="00775859"/>
    <w:rsid w:val="00775E6F"/>
    <w:rsid w:val="00776DFF"/>
    <w:rsid w:val="00783133"/>
    <w:rsid w:val="0078480A"/>
    <w:rsid w:val="00785D68"/>
    <w:rsid w:val="00785DCD"/>
    <w:rsid w:val="007865D6"/>
    <w:rsid w:val="00787693"/>
    <w:rsid w:val="007902B8"/>
    <w:rsid w:val="00791846"/>
    <w:rsid w:val="00792409"/>
    <w:rsid w:val="00795C99"/>
    <w:rsid w:val="00797CB0"/>
    <w:rsid w:val="007A0A25"/>
    <w:rsid w:val="007A1E4D"/>
    <w:rsid w:val="007A2DC5"/>
    <w:rsid w:val="007A3B16"/>
    <w:rsid w:val="007A3B66"/>
    <w:rsid w:val="007A3F13"/>
    <w:rsid w:val="007A4A01"/>
    <w:rsid w:val="007A663D"/>
    <w:rsid w:val="007A7919"/>
    <w:rsid w:val="007A7EB8"/>
    <w:rsid w:val="007B0619"/>
    <w:rsid w:val="007B1C5C"/>
    <w:rsid w:val="007B27BF"/>
    <w:rsid w:val="007B3223"/>
    <w:rsid w:val="007B5559"/>
    <w:rsid w:val="007B6E5C"/>
    <w:rsid w:val="007C01AF"/>
    <w:rsid w:val="007C1144"/>
    <w:rsid w:val="007C1498"/>
    <w:rsid w:val="007C19B1"/>
    <w:rsid w:val="007C24EA"/>
    <w:rsid w:val="007C3442"/>
    <w:rsid w:val="007C5F68"/>
    <w:rsid w:val="007D036F"/>
    <w:rsid w:val="007D0898"/>
    <w:rsid w:val="007D0A87"/>
    <w:rsid w:val="007D0DFB"/>
    <w:rsid w:val="007D16E9"/>
    <w:rsid w:val="007D1C06"/>
    <w:rsid w:val="007D2DFA"/>
    <w:rsid w:val="007D41A6"/>
    <w:rsid w:val="007D434C"/>
    <w:rsid w:val="007D4A5E"/>
    <w:rsid w:val="007D4B10"/>
    <w:rsid w:val="007D5F82"/>
    <w:rsid w:val="007D74CB"/>
    <w:rsid w:val="007E0857"/>
    <w:rsid w:val="007E3022"/>
    <w:rsid w:val="007E4C74"/>
    <w:rsid w:val="007E5954"/>
    <w:rsid w:val="007E5C9A"/>
    <w:rsid w:val="007F0775"/>
    <w:rsid w:val="007F0BDA"/>
    <w:rsid w:val="007F0C0C"/>
    <w:rsid w:val="007F2B82"/>
    <w:rsid w:val="007F2CF9"/>
    <w:rsid w:val="007F5983"/>
    <w:rsid w:val="007F62B0"/>
    <w:rsid w:val="007F70E4"/>
    <w:rsid w:val="007F7EEB"/>
    <w:rsid w:val="0080092D"/>
    <w:rsid w:val="008009D6"/>
    <w:rsid w:val="0080291B"/>
    <w:rsid w:val="00802DA0"/>
    <w:rsid w:val="00803251"/>
    <w:rsid w:val="008037D6"/>
    <w:rsid w:val="00803DC5"/>
    <w:rsid w:val="00803EA8"/>
    <w:rsid w:val="008057CC"/>
    <w:rsid w:val="00805EB9"/>
    <w:rsid w:val="00806FB1"/>
    <w:rsid w:val="0080738B"/>
    <w:rsid w:val="00810DB7"/>
    <w:rsid w:val="00811048"/>
    <w:rsid w:val="00811552"/>
    <w:rsid w:val="008139F1"/>
    <w:rsid w:val="008147BA"/>
    <w:rsid w:val="0081481D"/>
    <w:rsid w:val="008153D9"/>
    <w:rsid w:val="008154CB"/>
    <w:rsid w:val="00816220"/>
    <w:rsid w:val="008171EA"/>
    <w:rsid w:val="0081721E"/>
    <w:rsid w:val="008264C2"/>
    <w:rsid w:val="008266EC"/>
    <w:rsid w:val="00831B9C"/>
    <w:rsid w:val="008339E1"/>
    <w:rsid w:val="00833BD6"/>
    <w:rsid w:val="00835BFD"/>
    <w:rsid w:val="00836D54"/>
    <w:rsid w:val="00837C8C"/>
    <w:rsid w:val="00837F78"/>
    <w:rsid w:val="0084209D"/>
    <w:rsid w:val="00842561"/>
    <w:rsid w:val="008427E4"/>
    <w:rsid w:val="0084664B"/>
    <w:rsid w:val="00846880"/>
    <w:rsid w:val="00850B3B"/>
    <w:rsid w:val="008524EE"/>
    <w:rsid w:val="00853739"/>
    <w:rsid w:val="008547B8"/>
    <w:rsid w:val="00857053"/>
    <w:rsid w:val="008577A4"/>
    <w:rsid w:val="008606A4"/>
    <w:rsid w:val="00863CFB"/>
    <w:rsid w:val="00864FAE"/>
    <w:rsid w:val="008652E4"/>
    <w:rsid w:val="00865BB8"/>
    <w:rsid w:val="00865F16"/>
    <w:rsid w:val="008670F9"/>
    <w:rsid w:val="00867A23"/>
    <w:rsid w:val="00867FB7"/>
    <w:rsid w:val="00874A26"/>
    <w:rsid w:val="00875065"/>
    <w:rsid w:val="0087518C"/>
    <w:rsid w:val="00875BAB"/>
    <w:rsid w:val="00876762"/>
    <w:rsid w:val="008771A0"/>
    <w:rsid w:val="0087730D"/>
    <w:rsid w:val="008775AD"/>
    <w:rsid w:val="00884F9E"/>
    <w:rsid w:val="00885179"/>
    <w:rsid w:val="008854A1"/>
    <w:rsid w:val="00886CCC"/>
    <w:rsid w:val="00887379"/>
    <w:rsid w:val="00887B36"/>
    <w:rsid w:val="00892F5E"/>
    <w:rsid w:val="008969E7"/>
    <w:rsid w:val="008977BB"/>
    <w:rsid w:val="008A0E8D"/>
    <w:rsid w:val="008A0F3D"/>
    <w:rsid w:val="008A1F7B"/>
    <w:rsid w:val="008A2B7A"/>
    <w:rsid w:val="008A3BE7"/>
    <w:rsid w:val="008A421D"/>
    <w:rsid w:val="008A5F5D"/>
    <w:rsid w:val="008B0E01"/>
    <w:rsid w:val="008B447B"/>
    <w:rsid w:val="008B74A2"/>
    <w:rsid w:val="008B7AA5"/>
    <w:rsid w:val="008C00C1"/>
    <w:rsid w:val="008C0694"/>
    <w:rsid w:val="008C0A98"/>
    <w:rsid w:val="008C33D2"/>
    <w:rsid w:val="008C5196"/>
    <w:rsid w:val="008D1A3F"/>
    <w:rsid w:val="008D1B49"/>
    <w:rsid w:val="008D471B"/>
    <w:rsid w:val="008D479E"/>
    <w:rsid w:val="008D4C38"/>
    <w:rsid w:val="008D4D22"/>
    <w:rsid w:val="008D54EC"/>
    <w:rsid w:val="008D5CAA"/>
    <w:rsid w:val="008D5CE1"/>
    <w:rsid w:val="008D74BF"/>
    <w:rsid w:val="008E1829"/>
    <w:rsid w:val="008E3F4E"/>
    <w:rsid w:val="008E480E"/>
    <w:rsid w:val="008E49D2"/>
    <w:rsid w:val="008E58AA"/>
    <w:rsid w:val="008E7AED"/>
    <w:rsid w:val="008F07F8"/>
    <w:rsid w:val="008F0F39"/>
    <w:rsid w:val="008F1634"/>
    <w:rsid w:val="008F4641"/>
    <w:rsid w:val="008F519F"/>
    <w:rsid w:val="008F55AF"/>
    <w:rsid w:val="008F6062"/>
    <w:rsid w:val="008F6211"/>
    <w:rsid w:val="008F7422"/>
    <w:rsid w:val="008F7DDC"/>
    <w:rsid w:val="00903E3F"/>
    <w:rsid w:val="00903F23"/>
    <w:rsid w:val="00903FB6"/>
    <w:rsid w:val="00904AE0"/>
    <w:rsid w:val="009127E7"/>
    <w:rsid w:val="00912938"/>
    <w:rsid w:val="00913622"/>
    <w:rsid w:val="00913F33"/>
    <w:rsid w:val="0091529B"/>
    <w:rsid w:val="00916304"/>
    <w:rsid w:val="00916410"/>
    <w:rsid w:val="00920515"/>
    <w:rsid w:val="00920BDD"/>
    <w:rsid w:val="0092192B"/>
    <w:rsid w:val="009219A7"/>
    <w:rsid w:val="00922D3B"/>
    <w:rsid w:val="00922EF8"/>
    <w:rsid w:val="009235FD"/>
    <w:rsid w:val="00924005"/>
    <w:rsid w:val="009246F2"/>
    <w:rsid w:val="009269E8"/>
    <w:rsid w:val="00926C19"/>
    <w:rsid w:val="00932B68"/>
    <w:rsid w:val="00932DA8"/>
    <w:rsid w:val="00934954"/>
    <w:rsid w:val="009359B8"/>
    <w:rsid w:val="00935E37"/>
    <w:rsid w:val="00936423"/>
    <w:rsid w:val="00937EA3"/>
    <w:rsid w:val="00940059"/>
    <w:rsid w:val="0094011F"/>
    <w:rsid w:val="00940856"/>
    <w:rsid w:val="009409BC"/>
    <w:rsid w:val="00940CC4"/>
    <w:rsid w:val="00942036"/>
    <w:rsid w:val="0094325A"/>
    <w:rsid w:val="00943B24"/>
    <w:rsid w:val="00943E23"/>
    <w:rsid w:val="00944089"/>
    <w:rsid w:val="00944E37"/>
    <w:rsid w:val="00945865"/>
    <w:rsid w:val="00946911"/>
    <w:rsid w:val="00947ABD"/>
    <w:rsid w:val="00947C2F"/>
    <w:rsid w:val="00947D78"/>
    <w:rsid w:val="0095034D"/>
    <w:rsid w:val="009503A0"/>
    <w:rsid w:val="00950A3B"/>
    <w:rsid w:val="009534C9"/>
    <w:rsid w:val="00955687"/>
    <w:rsid w:val="00956710"/>
    <w:rsid w:val="00957F36"/>
    <w:rsid w:val="009616CD"/>
    <w:rsid w:val="0096291B"/>
    <w:rsid w:val="00965670"/>
    <w:rsid w:val="00965F32"/>
    <w:rsid w:val="00966381"/>
    <w:rsid w:val="00966E21"/>
    <w:rsid w:val="00970B1A"/>
    <w:rsid w:val="00971C5C"/>
    <w:rsid w:val="009726F0"/>
    <w:rsid w:val="00973331"/>
    <w:rsid w:val="009771D9"/>
    <w:rsid w:val="009774E9"/>
    <w:rsid w:val="009777E1"/>
    <w:rsid w:val="00977875"/>
    <w:rsid w:val="0098097F"/>
    <w:rsid w:val="00983102"/>
    <w:rsid w:val="00983A94"/>
    <w:rsid w:val="00984ABD"/>
    <w:rsid w:val="009859FA"/>
    <w:rsid w:val="00985D06"/>
    <w:rsid w:val="00985DD4"/>
    <w:rsid w:val="00987973"/>
    <w:rsid w:val="00994E72"/>
    <w:rsid w:val="00995941"/>
    <w:rsid w:val="0099769C"/>
    <w:rsid w:val="009A0191"/>
    <w:rsid w:val="009A029C"/>
    <w:rsid w:val="009A0C4A"/>
    <w:rsid w:val="009A190E"/>
    <w:rsid w:val="009A23F0"/>
    <w:rsid w:val="009A35C5"/>
    <w:rsid w:val="009B101E"/>
    <w:rsid w:val="009B52B1"/>
    <w:rsid w:val="009B53EF"/>
    <w:rsid w:val="009B7FA1"/>
    <w:rsid w:val="009C1057"/>
    <w:rsid w:val="009C324B"/>
    <w:rsid w:val="009C4A31"/>
    <w:rsid w:val="009C506B"/>
    <w:rsid w:val="009C5FEF"/>
    <w:rsid w:val="009C7E6D"/>
    <w:rsid w:val="009D0C06"/>
    <w:rsid w:val="009D12F2"/>
    <w:rsid w:val="009D4240"/>
    <w:rsid w:val="009D4B1E"/>
    <w:rsid w:val="009D4F49"/>
    <w:rsid w:val="009D6CDD"/>
    <w:rsid w:val="009D73F8"/>
    <w:rsid w:val="009E1001"/>
    <w:rsid w:val="009E13D9"/>
    <w:rsid w:val="009E1E98"/>
    <w:rsid w:val="009E2CF0"/>
    <w:rsid w:val="009E7FC5"/>
    <w:rsid w:val="009F1614"/>
    <w:rsid w:val="009F166F"/>
    <w:rsid w:val="009F17A3"/>
    <w:rsid w:val="009F1B8A"/>
    <w:rsid w:val="009F2DB2"/>
    <w:rsid w:val="009F387F"/>
    <w:rsid w:val="009F3D4B"/>
    <w:rsid w:val="009F45E8"/>
    <w:rsid w:val="009F5D1F"/>
    <w:rsid w:val="009F7225"/>
    <w:rsid w:val="009F748C"/>
    <w:rsid w:val="009F756A"/>
    <w:rsid w:val="00A00617"/>
    <w:rsid w:val="00A00BB4"/>
    <w:rsid w:val="00A01521"/>
    <w:rsid w:val="00A01C4B"/>
    <w:rsid w:val="00A05573"/>
    <w:rsid w:val="00A0671D"/>
    <w:rsid w:val="00A117D4"/>
    <w:rsid w:val="00A11A37"/>
    <w:rsid w:val="00A12B63"/>
    <w:rsid w:val="00A149B3"/>
    <w:rsid w:val="00A156B1"/>
    <w:rsid w:val="00A15E2B"/>
    <w:rsid w:val="00A168EA"/>
    <w:rsid w:val="00A177E6"/>
    <w:rsid w:val="00A20AD0"/>
    <w:rsid w:val="00A2128F"/>
    <w:rsid w:val="00A21BA3"/>
    <w:rsid w:val="00A21DE3"/>
    <w:rsid w:val="00A21E98"/>
    <w:rsid w:val="00A22AAE"/>
    <w:rsid w:val="00A23131"/>
    <w:rsid w:val="00A2358B"/>
    <w:rsid w:val="00A24118"/>
    <w:rsid w:val="00A26517"/>
    <w:rsid w:val="00A266B2"/>
    <w:rsid w:val="00A27830"/>
    <w:rsid w:val="00A32599"/>
    <w:rsid w:val="00A32EBE"/>
    <w:rsid w:val="00A33299"/>
    <w:rsid w:val="00A35700"/>
    <w:rsid w:val="00A37874"/>
    <w:rsid w:val="00A37921"/>
    <w:rsid w:val="00A37A14"/>
    <w:rsid w:val="00A37B4D"/>
    <w:rsid w:val="00A4003E"/>
    <w:rsid w:val="00A41D7D"/>
    <w:rsid w:val="00A422B5"/>
    <w:rsid w:val="00A4251E"/>
    <w:rsid w:val="00A46439"/>
    <w:rsid w:val="00A466DB"/>
    <w:rsid w:val="00A47A41"/>
    <w:rsid w:val="00A52FD0"/>
    <w:rsid w:val="00A530EB"/>
    <w:rsid w:val="00A53E1A"/>
    <w:rsid w:val="00A54DC1"/>
    <w:rsid w:val="00A55707"/>
    <w:rsid w:val="00A57013"/>
    <w:rsid w:val="00A60794"/>
    <w:rsid w:val="00A618CD"/>
    <w:rsid w:val="00A62367"/>
    <w:rsid w:val="00A62EE3"/>
    <w:rsid w:val="00A63496"/>
    <w:rsid w:val="00A63F95"/>
    <w:rsid w:val="00A64F08"/>
    <w:rsid w:val="00A706AD"/>
    <w:rsid w:val="00A70A78"/>
    <w:rsid w:val="00A70E74"/>
    <w:rsid w:val="00A71072"/>
    <w:rsid w:val="00A7141C"/>
    <w:rsid w:val="00A71544"/>
    <w:rsid w:val="00A71AB5"/>
    <w:rsid w:val="00A7215C"/>
    <w:rsid w:val="00A72337"/>
    <w:rsid w:val="00A747FA"/>
    <w:rsid w:val="00A76C01"/>
    <w:rsid w:val="00A77170"/>
    <w:rsid w:val="00A81AF8"/>
    <w:rsid w:val="00A81FDC"/>
    <w:rsid w:val="00A821A2"/>
    <w:rsid w:val="00A82A4D"/>
    <w:rsid w:val="00A84A18"/>
    <w:rsid w:val="00A86739"/>
    <w:rsid w:val="00A86A0B"/>
    <w:rsid w:val="00A91DE3"/>
    <w:rsid w:val="00A973EE"/>
    <w:rsid w:val="00A97E10"/>
    <w:rsid w:val="00AA0462"/>
    <w:rsid w:val="00AA09C1"/>
    <w:rsid w:val="00AA262A"/>
    <w:rsid w:val="00AA2DF6"/>
    <w:rsid w:val="00AA32ED"/>
    <w:rsid w:val="00AA4D18"/>
    <w:rsid w:val="00AA56C8"/>
    <w:rsid w:val="00AA5984"/>
    <w:rsid w:val="00AA5D8E"/>
    <w:rsid w:val="00AB09B7"/>
    <w:rsid w:val="00AB1F45"/>
    <w:rsid w:val="00AB2B1C"/>
    <w:rsid w:val="00AB2B5F"/>
    <w:rsid w:val="00AB2C97"/>
    <w:rsid w:val="00AB3136"/>
    <w:rsid w:val="00AB4C66"/>
    <w:rsid w:val="00AB501C"/>
    <w:rsid w:val="00AB50A7"/>
    <w:rsid w:val="00AB519E"/>
    <w:rsid w:val="00AB5ECF"/>
    <w:rsid w:val="00AB6DCB"/>
    <w:rsid w:val="00AC056A"/>
    <w:rsid w:val="00AC15FA"/>
    <w:rsid w:val="00AC1728"/>
    <w:rsid w:val="00AC2762"/>
    <w:rsid w:val="00AC4A16"/>
    <w:rsid w:val="00AC773F"/>
    <w:rsid w:val="00AC78CB"/>
    <w:rsid w:val="00AC794B"/>
    <w:rsid w:val="00AD06C3"/>
    <w:rsid w:val="00AD26AC"/>
    <w:rsid w:val="00AD4D56"/>
    <w:rsid w:val="00AD4FD3"/>
    <w:rsid w:val="00AD5D17"/>
    <w:rsid w:val="00AD5FF0"/>
    <w:rsid w:val="00AD6358"/>
    <w:rsid w:val="00AD6C0E"/>
    <w:rsid w:val="00AD6D80"/>
    <w:rsid w:val="00AE07D0"/>
    <w:rsid w:val="00AE0989"/>
    <w:rsid w:val="00AE350D"/>
    <w:rsid w:val="00AE4F09"/>
    <w:rsid w:val="00AE757F"/>
    <w:rsid w:val="00AF051F"/>
    <w:rsid w:val="00AF23A9"/>
    <w:rsid w:val="00AF25E1"/>
    <w:rsid w:val="00AF2690"/>
    <w:rsid w:val="00AF40E8"/>
    <w:rsid w:val="00AF4B64"/>
    <w:rsid w:val="00AF5889"/>
    <w:rsid w:val="00AF5C35"/>
    <w:rsid w:val="00AF6DAE"/>
    <w:rsid w:val="00B01B3B"/>
    <w:rsid w:val="00B036A4"/>
    <w:rsid w:val="00B0566B"/>
    <w:rsid w:val="00B0591C"/>
    <w:rsid w:val="00B06BFB"/>
    <w:rsid w:val="00B078BF"/>
    <w:rsid w:val="00B1068E"/>
    <w:rsid w:val="00B11083"/>
    <w:rsid w:val="00B11BCA"/>
    <w:rsid w:val="00B12F18"/>
    <w:rsid w:val="00B1606B"/>
    <w:rsid w:val="00B16B2D"/>
    <w:rsid w:val="00B16D23"/>
    <w:rsid w:val="00B17AC5"/>
    <w:rsid w:val="00B17C70"/>
    <w:rsid w:val="00B20B14"/>
    <w:rsid w:val="00B22F84"/>
    <w:rsid w:val="00B245A0"/>
    <w:rsid w:val="00B25AB9"/>
    <w:rsid w:val="00B30FF5"/>
    <w:rsid w:val="00B31928"/>
    <w:rsid w:val="00B334F2"/>
    <w:rsid w:val="00B363AB"/>
    <w:rsid w:val="00B40E28"/>
    <w:rsid w:val="00B4432E"/>
    <w:rsid w:val="00B44DA2"/>
    <w:rsid w:val="00B45111"/>
    <w:rsid w:val="00B46237"/>
    <w:rsid w:val="00B46E1C"/>
    <w:rsid w:val="00B47D43"/>
    <w:rsid w:val="00B47F68"/>
    <w:rsid w:val="00B5079E"/>
    <w:rsid w:val="00B5158D"/>
    <w:rsid w:val="00B527A9"/>
    <w:rsid w:val="00B5398D"/>
    <w:rsid w:val="00B54AAD"/>
    <w:rsid w:val="00B56636"/>
    <w:rsid w:val="00B63D2E"/>
    <w:rsid w:val="00B63E29"/>
    <w:rsid w:val="00B63E5A"/>
    <w:rsid w:val="00B645D3"/>
    <w:rsid w:val="00B65482"/>
    <w:rsid w:val="00B65657"/>
    <w:rsid w:val="00B656A8"/>
    <w:rsid w:val="00B658E1"/>
    <w:rsid w:val="00B662E4"/>
    <w:rsid w:val="00B66F34"/>
    <w:rsid w:val="00B67289"/>
    <w:rsid w:val="00B70287"/>
    <w:rsid w:val="00B703C6"/>
    <w:rsid w:val="00B70A2D"/>
    <w:rsid w:val="00B71106"/>
    <w:rsid w:val="00B73327"/>
    <w:rsid w:val="00B7407A"/>
    <w:rsid w:val="00B75EAB"/>
    <w:rsid w:val="00B77162"/>
    <w:rsid w:val="00B77FD1"/>
    <w:rsid w:val="00B80505"/>
    <w:rsid w:val="00B824C0"/>
    <w:rsid w:val="00B840B5"/>
    <w:rsid w:val="00B84773"/>
    <w:rsid w:val="00B87CBC"/>
    <w:rsid w:val="00B91373"/>
    <w:rsid w:val="00B93BFA"/>
    <w:rsid w:val="00B94254"/>
    <w:rsid w:val="00B947E5"/>
    <w:rsid w:val="00B95043"/>
    <w:rsid w:val="00B951E3"/>
    <w:rsid w:val="00B95958"/>
    <w:rsid w:val="00B95C70"/>
    <w:rsid w:val="00B9676E"/>
    <w:rsid w:val="00B97C6D"/>
    <w:rsid w:val="00BA1006"/>
    <w:rsid w:val="00BA1299"/>
    <w:rsid w:val="00BA136A"/>
    <w:rsid w:val="00BA17B4"/>
    <w:rsid w:val="00BA3493"/>
    <w:rsid w:val="00BA3A34"/>
    <w:rsid w:val="00BA6B4A"/>
    <w:rsid w:val="00BB3418"/>
    <w:rsid w:val="00BB469F"/>
    <w:rsid w:val="00BC0373"/>
    <w:rsid w:val="00BC0403"/>
    <w:rsid w:val="00BC0896"/>
    <w:rsid w:val="00BC201C"/>
    <w:rsid w:val="00BC2232"/>
    <w:rsid w:val="00BC2437"/>
    <w:rsid w:val="00BC255D"/>
    <w:rsid w:val="00BC3E8B"/>
    <w:rsid w:val="00BC3FA9"/>
    <w:rsid w:val="00BC4589"/>
    <w:rsid w:val="00BC45CD"/>
    <w:rsid w:val="00BC595D"/>
    <w:rsid w:val="00BD020F"/>
    <w:rsid w:val="00BD1ECF"/>
    <w:rsid w:val="00BD5E8D"/>
    <w:rsid w:val="00BD6C35"/>
    <w:rsid w:val="00BD6CB2"/>
    <w:rsid w:val="00BD72EF"/>
    <w:rsid w:val="00BD7AED"/>
    <w:rsid w:val="00BE053F"/>
    <w:rsid w:val="00BE080B"/>
    <w:rsid w:val="00BE1CE2"/>
    <w:rsid w:val="00BE2C5D"/>
    <w:rsid w:val="00BE301A"/>
    <w:rsid w:val="00BE44CB"/>
    <w:rsid w:val="00BE4FAA"/>
    <w:rsid w:val="00BF1360"/>
    <w:rsid w:val="00BF3169"/>
    <w:rsid w:val="00BF35CB"/>
    <w:rsid w:val="00BF485C"/>
    <w:rsid w:val="00BF565D"/>
    <w:rsid w:val="00BF5803"/>
    <w:rsid w:val="00C01992"/>
    <w:rsid w:val="00C0255A"/>
    <w:rsid w:val="00C0313A"/>
    <w:rsid w:val="00C034DB"/>
    <w:rsid w:val="00C043B6"/>
    <w:rsid w:val="00C0504F"/>
    <w:rsid w:val="00C07B2F"/>
    <w:rsid w:val="00C10951"/>
    <w:rsid w:val="00C11959"/>
    <w:rsid w:val="00C12A3E"/>
    <w:rsid w:val="00C13604"/>
    <w:rsid w:val="00C148F1"/>
    <w:rsid w:val="00C172E2"/>
    <w:rsid w:val="00C212DA"/>
    <w:rsid w:val="00C22515"/>
    <w:rsid w:val="00C23251"/>
    <w:rsid w:val="00C26849"/>
    <w:rsid w:val="00C26DB9"/>
    <w:rsid w:val="00C27798"/>
    <w:rsid w:val="00C278C0"/>
    <w:rsid w:val="00C31197"/>
    <w:rsid w:val="00C31CCF"/>
    <w:rsid w:val="00C3269B"/>
    <w:rsid w:val="00C328DA"/>
    <w:rsid w:val="00C3318A"/>
    <w:rsid w:val="00C34BCA"/>
    <w:rsid w:val="00C361E5"/>
    <w:rsid w:val="00C363C0"/>
    <w:rsid w:val="00C41F97"/>
    <w:rsid w:val="00C460C4"/>
    <w:rsid w:val="00C462AE"/>
    <w:rsid w:val="00C46CAA"/>
    <w:rsid w:val="00C47124"/>
    <w:rsid w:val="00C531A9"/>
    <w:rsid w:val="00C53DA9"/>
    <w:rsid w:val="00C551C7"/>
    <w:rsid w:val="00C558CD"/>
    <w:rsid w:val="00C5697F"/>
    <w:rsid w:val="00C60BC5"/>
    <w:rsid w:val="00C6177E"/>
    <w:rsid w:val="00C618C9"/>
    <w:rsid w:val="00C65933"/>
    <w:rsid w:val="00C668D8"/>
    <w:rsid w:val="00C7170A"/>
    <w:rsid w:val="00C717CE"/>
    <w:rsid w:val="00C7366C"/>
    <w:rsid w:val="00C739D8"/>
    <w:rsid w:val="00C74171"/>
    <w:rsid w:val="00C76493"/>
    <w:rsid w:val="00C8068E"/>
    <w:rsid w:val="00C80707"/>
    <w:rsid w:val="00C8094C"/>
    <w:rsid w:val="00C80E39"/>
    <w:rsid w:val="00C80F66"/>
    <w:rsid w:val="00C824A1"/>
    <w:rsid w:val="00C82849"/>
    <w:rsid w:val="00C838A0"/>
    <w:rsid w:val="00C84AFA"/>
    <w:rsid w:val="00C856F0"/>
    <w:rsid w:val="00C8592E"/>
    <w:rsid w:val="00C864C4"/>
    <w:rsid w:val="00C8793C"/>
    <w:rsid w:val="00C90D7C"/>
    <w:rsid w:val="00C913F4"/>
    <w:rsid w:val="00C9290A"/>
    <w:rsid w:val="00C92A99"/>
    <w:rsid w:val="00C93E96"/>
    <w:rsid w:val="00C93EFD"/>
    <w:rsid w:val="00C94981"/>
    <w:rsid w:val="00C94C5E"/>
    <w:rsid w:val="00C95BD9"/>
    <w:rsid w:val="00C967DA"/>
    <w:rsid w:val="00C97AA8"/>
    <w:rsid w:val="00C97E87"/>
    <w:rsid w:val="00CA73EA"/>
    <w:rsid w:val="00CA74FF"/>
    <w:rsid w:val="00CA7661"/>
    <w:rsid w:val="00CA7806"/>
    <w:rsid w:val="00CB2590"/>
    <w:rsid w:val="00CB7A95"/>
    <w:rsid w:val="00CC1534"/>
    <w:rsid w:val="00CC1D39"/>
    <w:rsid w:val="00CC5B1A"/>
    <w:rsid w:val="00CC5C28"/>
    <w:rsid w:val="00CD1DBB"/>
    <w:rsid w:val="00CD3BF8"/>
    <w:rsid w:val="00CD43C0"/>
    <w:rsid w:val="00CD484D"/>
    <w:rsid w:val="00CD543A"/>
    <w:rsid w:val="00CD6021"/>
    <w:rsid w:val="00CD703A"/>
    <w:rsid w:val="00CD7517"/>
    <w:rsid w:val="00CE148E"/>
    <w:rsid w:val="00CE2880"/>
    <w:rsid w:val="00CE2E06"/>
    <w:rsid w:val="00CE3CC8"/>
    <w:rsid w:val="00CE4CFF"/>
    <w:rsid w:val="00CE4ECF"/>
    <w:rsid w:val="00CE7B0A"/>
    <w:rsid w:val="00CF150D"/>
    <w:rsid w:val="00CF2000"/>
    <w:rsid w:val="00CF3916"/>
    <w:rsid w:val="00CF40A6"/>
    <w:rsid w:val="00CF5E15"/>
    <w:rsid w:val="00D00843"/>
    <w:rsid w:val="00D039CA"/>
    <w:rsid w:val="00D04163"/>
    <w:rsid w:val="00D057B2"/>
    <w:rsid w:val="00D05C80"/>
    <w:rsid w:val="00D07EBA"/>
    <w:rsid w:val="00D11BCB"/>
    <w:rsid w:val="00D12A62"/>
    <w:rsid w:val="00D150F3"/>
    <w:rsid w:val="00D15255"/>
    <w:rsid w:val="00D15B9C"/>
    <w:rsid w:val="00D20BDC"/>
    <w:rsid w:val="00D22A60"/>
    <w:rsid w:val="00D22F41"/>
    <w:rsid w:val="00D2480F"/>
    <w:rsid w:val="00D25A91"/>
    <w:rsid w:val="00D265D0"/>
    <w:rsid w:val="00D274A1"/>
    <w:rsid w:val="00D27C71"/>
    <w:rsid w:val="00D302A6"/>
    <w:rsid w:val="00D35A04"/>
    <w:rsid w:val="00D35D4A"/>
    <w:rsid w:val="00D371A3"/>
    <w:rsid w:val="00D374EA"/>
    <w:rsid w:val="00D401DD"/>
    <w:rsid w:val="00D415C5"/>
    <w:rsid w:val="00D41E3B"/>
    <w:rsid w:val="00D41F35"/>
    <w:rsid w:val="00D427D7"/>
    <w:rsid w:val="00D42C6E"/>
    <w:rsid w:val="00D43B79"/>
    <w:rsid w:val="00D45DC4"/>
    <w:rsid w:val="00D4736D"/>
    <w:rsid w:val="00D47420"/>
    <w:rsid w:val="00D50079"/>
    <w:rsid w:val="00D51744"/>
    <w:rsid w:val="00D52758"/>
    <w:rsid w:val="00D52CC6"/>
    <w:rsid w:val="00D541D2"/>
    <w:rsid w:val="00D549AE"/>
    <w:rsid w:val="00D54AE6"/>
    <w:rsid w:val="00D552F5"/>
    <w:rsid w:val="00D569A8"/>
    <w:rsid w:val="00D572BF"/>
    <w:rsid w:val="00D5764B"/>
    <w:rsid w:val="00D601E9"/>
    <w:rsid w:val="00D6109F"/>
    <w:rsid w:val="00D61505"/>
    <w:rsid w:val="00D61F45"/>
    <w:rsid w:val="00D6224C"/>
    <w:rsid w:val="00D628B3"/>
    <w:rsid w:val="00D62A70"/>
    <w:rsid w:val="00D62AA1"/>
    <w:rsid w:val="00D63ED0"/>
    <w:rsid w:val="00D648BF"/>
    <w:rsid w:val="00D65482"/>
    <w:rsid w:val="00D67C59"/>
    <w:rsid w:val="00D67CBC"/>
    <w:rsid w:val="00D70BE0"/>
    <w:rsid w:val="00D72BF0"/>
    <w:rsid w:val="00D779C4"/>
    <w:rsid w:val="00D800B6"/>
    <w:rsid w:val="00D80C5D"/>
    <w:rsid w:val="00D81BCB"/>
    <w:rsid w:val="00D82EC7"/>
    <w:rsid w:val="00D83B7E"/>
    <w:rsid w:val="00D83C04"/>
    <w:rsid w:val="00D85633"/>
    <w:rsid w:val="00D907E2"/>
    <w:rsid w:val="00D90E02"/>
    <w:rsid w:val="00D90F6E"/>
    <w:rsid w:val="00D9116D"/>
    <w:rsid w:val="00D9164E"/>
    <w:rsid w:val="00D92653"/>
    <w:rsid w:val="00D92C7C"/>
    <w:rsid w:val="00D92EC1"/>
    <w:rsid w:val="00D935AF"/>
    <w:rsid w:val="00D93F64"/>
    <w:rsid w:val="00D943D0"/>
    <w:rsid w:val="00D9477D"/>
    <w:rsid w:val="00D94C70"/>
    <w:rsid w:val="00D94CED"/>
    <w:rsid w:val="00D968C5"/>
    <w:rsid w:val="00DA029C"/>
    <w:rsid w:val="00DA051E"/>
    <w:rsid w:val="00DA1EEC"/>
    <w:rsid w:val="00DA2440"/>
    <w:rsid w:val="00DA4226"/>
    <w:rsid w:val="00DA4372"/>
    <w:rsid w:val="00DA76A4"/>
    <w:rsid w:val="00DB1250"/>
    <w:rsid w:val="00DB1A41"/>
    <w:rsid w:val="00DB1BB1"/>
    <w:rsid w:val="00DB2A59"/>
    <w:rsid w:val="00DC06F4"/>
    <w:rsid w:val="00DC17BC"/>
    <w:rsid w:val="00DC194C"/>
    <w:rsid w:val="00DC24CF"/>
    <w:rsid w:val="00DC6801"/>
    <w:rsid w:val="00DC6CB0"/>
    <w:rsid w:val="00DC6EAA"/>
    <w:rsid w:val="00DD0899"/>
    <w:rsid w:val="00DD0AB1"/>
    <w:rsid w:val="00DD1720"/>
    <w:rsid w:val="00DD4B47"/>
    <w:rsid w:val="00DD59A8"/>
    <w:rsid w:val="00DD59FC"/>
    <w:rsid w:val="00DD6232"/>
    <w:rsid w:val="00DD66A8"/>
    <w:rsid w:val="00DD7E2F"/>
    <w:rsid w:val="00DE0EE1"/>
    <w:rsid w:val="00DE15DD"/>
    <w:rsid w:val="00DE1F69"/>
    <w:rsid w:val="00DE308E"/>
    <w:rsid w:val="00DE36FF"/>
    <w:rsid w:val="00DE41C3"/>
    <w:rsid w:val="00DE5802"/>
    <w:rsid w:val="00DE591F"/>
    <w:rsid w:val="00DE62C6"/>
    <w:rsid w:val="00DF1405"/>
    <w:rsid w:val="00DF2896"/>
    <w:rsid w:val="00DF2D1B"/>
    <w:rsid w:val="00DF35DA"/>
    <w:rsid w:val="00DF3AA9"/>
    <w:rsid w:val="00DF51F3"/>
    <w:rsid w:val="00DF5FD3"/>
    <w:rsid w:val="00DF6D23"/>
    <w:rsid w:val="00DF6E5B"/>
    <w:rsid w:val="00DF6F61"/>
    <w:rsid w:val="00E016E0"/>
    <w:rsid w:val="00E01B2F"/>
    <w:rsid w:val="00E01C83"/>
    <w:rsid w:val="00E02BC4"/>
    <w:rsid w:val="00E02EA1"/>
    <w:rsid w:val="00E038BE"/>
    <w:rsid w:val="00E043F3"/>
    <w:rsid w:val="00E047A4"/>
    <w:rsid w:val="00E05466"/>
    <w:rsid w:val="00E111D7"/>
    <w:rsid w:val="00E11ABD"/>
    <w:rsid w:val="00E12043"/>
    <w:rsid w:val="00E13739"/>
    <w:rsid w:val="00E13DE0"/>
    <w:rsid w:val="00E14557"/>
    <w:rsid w:val="00E148DE"/>
    <w:rsid w:val="00E14FBF"/>
    <w:rsid w:val="00E16348"/>
    <w:rsid w:val="00E167C5"/>
    <w:rsid w:val="00E17282"/>
    <w:rsid w:val="00E20247"/>
    <w:rsid w:val="00E20FF6"/>
    <w:rsid w:val="00E21611"/>
    <w:rsid w:val="00E24BA0"/>
    <w:rsid w:val="00E2654F"/>
    <w:rsid w:val="00E2675C"/>
    <w:rsid w:val="00E26E3C"/>
    <w:rsid w:val="00E30962"/>
    <w:rsid w:val="00E32ECA"/>
    <w:rsid w:val="00E34816"/>
    <w:rsid w:val="00E369C7"/>
    <w:rsid w:val="00E37F36"/>
    <w:rsid w:val="00E400A4"/>
    <w:rsid w:val="00E41F62"/>
    <w:rsid w:val="00E4245C"/>
    <w:rsid w:val="00E429D5"/>
    <w:rsid w:val="00E46922"/>
    <w:rsid w:val="00E47927"/>
    <w:rsid w:val="00E47EA1"/>
    <w:rsid w:val="00E50746"/>
    <w:rsid w:val="00E52EB1"/>
    <w:rsid w:val="00E53068"/>
    <w:rsid w:val="00E55EA7"/>
    <w:rsid w:val="00E5715C"/>
    <w:rsid w:val="00E60DA4"/>
    <w:rsid w:val="00E6159B"/>
    <w:rsid w:val="00E638D3"/>
    <w:rsid w:val="00E643EA"/>
    <w:rsid w:val="00E64BF4"/>
    <w:rsid w:val="00E66417"/>
    <w:rsid w:val="00E66D19"/>
    <w:rsid w:val="00E679D5"/>
    <w:rsid w:val="00E67E00"/>
    <w:rsid w:val="00E71BB2"/>
    <w:rsid w:val="00E724E1"/>
    <w:rsid w:val="00E741A5"/>
    <w:rsid w:val="00E76123"/>
    <w:rsid w:val="00E766FE"/>
    <w:rsid w:val="00E767AD"/>
    <w:rsid w:val="00E77287"/>
    <w:rsid w:val="00E77B4B"/>
    <w:rsid w:val="00E80789"/>
    <w:rsid w:val="00E8154E"/>
    <w:rsid w:val="00E82C41"/>
    <w:rsid w:val="00E85012"/>
    <w:rsid w:val="00E86FA7"/>
    <w:rsid w:val="00E87793"/>
    <w:rsid w:val="00E9053C"/>
    <w:rsid w:val="00E91FA8"/>
    <w:rsid w:val="00E921DB"/>
    <w:rsid w:val="00E9279E"/>
    <w:rsid w:val="00E92CE5"/>
    <w:rsid w:val="00E93175"/>
    <w:rsid w:val="00E93551"/>
    <w:rsid w:val="00E9365B"/>
    <w:rsid w:val="00E9539C"/>
    <w:rsid w:val="00E96FEA"/>
    <w:rsid w:val="00E975EB"/>
    <w:rsid w:val="00EA056E"/>
    <w:rsid w:val="00EA05F5"/>
    <w:rsid w:val="00EA1387"/>
    <w:rsid w:val="00EA1DE1"/>
    <w:rsid w:val="00EA2603"/>
    <w:rsid w:val="00EA2E56"/>
    <w:rsid w:val="00EA4BFD"/>
    <w:rsid w:val="00EA4C7C"/>
    <w:rsid w:val="00EB0489"/>
    <w:rsid w:val="00EB1F45"/>
    <w:rsid w:val="00EB2C66"/>
    <w:rsid w:val="00EB41E9"/>
    <w:rsid w:val="00EB57D6"/>
    <w:rsid w:val="00EB596D"/>
    <w:rsid w:val="00EB67F3"/>
    <w:rsid w:val="00EB6E9B"/>
    <w:rsid w:val="00EB76C4"/>
    <w:rsid w:val="00EB7F14"/>
    <w:rsid w:val="00EC02EE"/>
    <w:rsid w:val="00EC1C85"/>
    <w:rsid w:val="00EC33C5"/>
    <w:rsid w:val="00EC6DEB"/>
    <w:rsid w:val="00EC7685"/>
    <w:rsid w:val="00ED0837"/>
    <w:rsid w:val="00ED20BE"/>
    <w:rsid w:val="00ED20DC"/>
    <w:rsid w:val="00ED2B7D"/>
    <w:rsid w:val="00ED3D3C"/>
    <w:rsid w:val="00ED7837"/>
    <w:rsid w:val="00EE07D4"/>
    <w:rsid w:val="00EE1213"/>
    <w:rsid w:val="00EE194E"/>
    <w:rsid w:val="00EE39A8"/>
    <w:rsid w:val="00EE6EC4"/>
    <w:rsid w:val="00EE7DA1"/>
    <w:rsid w:val="00EF0BB4"/>
    <w:rsid w:val="00EF3585"/>
    <w:rsid w:val="00EF3B50"/>
    <w:rsid w:val="00EF4C1B"/>
    <w:rsid w:val="00EF5F92"/>
    <w:rsid w:val="00EF73D3"/>
    <w:rsid w:val="00EF770C"/>
    <w:rsid w:val="00F00292"/>
    <w:rsid w:val="00F00DD9"/>
    <w:rsid w:val="00F02133"/>
    <w:rsid w:val="00F029BE"/>
    <w:rsid w:val="00F0689A"/>
    <w:rsid w:val="00F11F47"/>
    <w:rsid w:val="00F13EBD"/>
    <w:rsid w:val="00F15A61"/>
    <w:rsid w:val="00F17A12"/>
    <w:rsid w:val="00F20573"/>
    <w:rsid w:val="00F20BCC"/>
    <w:rsid w:val="00F23621"/>
    <w:rsid w:val="00F30E6D"/>
    <w:rsid w:val="00F32EB7"/>
    <w:rsid w:val="00F32FED"/>
    <w:rsid w:val="00F3339D"/>
    <w:rsid w:val="00F34B17"/>
    <w:rsid w:val="00F36C61"/>
    <w:rsid w:val="00F37B53"/>
    <w:rsid w:val="00F37B96"/>
    <w:rsid w:val="00F41B0C"/>
    <w:rsid w:val="00F42563"/>
    <w:rsid w:val="00F42816"/>
    <w:rsid w:val="00F42F25"/>
    <w:rsid w:val="00F4463D"/>
    <w:rsid w:val="00F452D3"/>
    <w:rsid w:val="00F46620"/>
    <w:rsid w:val="00F47E34"/>
    <w:rsid w:val="00F52632"/>
    <w:rsid w:val="00F54C3A"/>
    <w:rsid w:val="00F56081"/>
    <w:rsid w:val="00F567E2"/>
    <w:rsid w:val="00F57312"/>
    <w:rsid w:val="00F60835"/>
    <w:rsid w:val="00F61111"/>
    <w:rsid w:val="00F63C99"/>
    <w:rsid w:val="00F67223"/>
    <w:rsid w:val="00F67D26"/>
    <w:rsid w:val="00F67DBD"/>
    <w:rsid w:val="00F67E55"/>
    <w:rsid w:val="00F70A94"/>
    <w:rsid w:val="00F72A98"/>
    <w:rsid w:val="00F7316F"/>
    <w:rsid w:val="00F74CC3"/>
    <w:rsid w:val="00F7739D"/>
    <w:rsid w:val="00F77A9E"/>
    <w:rsid w:val="00F77D05"/>
    <w:rsid w:val="00F822FE"/>
    <w:rsid w:val="00F82467"/>
    <w:rsid w:val="00F84131"/>
    <w:rsid w:val="00F859AB"/>
    <w:rsid w:val="00F86097"/>
    <w:rsid w:val="00F873B1"/>
    <w:rsid w:val="00F87AC3"/>
    <w:rsid w:val="00F90643"/>
    <w:rsid w:val="00F9113D"/>
    <w:rsid w:val="00F9139D"/>
    <w:rsid w:val="00F9207C"/>
    <w:rsid w:val="00F9279A"/>
    <w:rsid w:val="00F950EE"/>
    <w:rsid w:val="00F96558"/>
    <w:rsid w:val="00FA0ECD"/>
    <w:rsid w:val="00FA154E"/>
    <w:rsid w:val="00FA334A"/>
    <w:rsid w:val="00FA64D0"/>
    <w:rsid w:val="00FA69DC"/>
    <w:rsid w:val="00FA7964"/>
    <w:rsid w:val="00FB10E9"/>
    <w:rsid w:val="00FB19EC"/>
    <w:rsid w:val="00FB2C91"/>
    <w:rsid w:val="00FB3731"/>
    <w:rsid w:val="00FB3851"/>
    <w:rsid w:val="00FB48BB"/>
    <w:rsid w:val="00FB4A9E"/>
    <w:rsid w:val="00FB7345"/>
    <w:rsid w:val="00FC06A8"/>
    <w:rsid w:val="00FC08A6"/>
    <w:rsid w:val="00FC0CF7"/>
    <w:rsid w:val="00FC1F13"/>
    <w:rsid w:val="00FC24DE"/>
    <w:rsid w:val="00FC2843"/>
    <w:rsid w:val="00FC3B9F"/>
    <w:rsid w:val="00FC650D"/>
    <w:rsid w:val="00FC6AC2"/>
    <w:rsid w:val="00FD00B9"/>
    <w:rsid w:val="00FD347E"/>
    <w:rsid w:val="00FD45F7"/>
    <w:rsid w:val="00FD488C"/>
    <w:rsid w:val="00FD7DA7"/>
    <w:rsid w:val="00FD7FBB"/>
    <w:rsid w:val="00FE0B91"/>
    <w:rsid w:val="00FE10DB"/>
    <w:rsid w:val="00FE1CA1"/>
    <w:rsid w:val="00FE2052"/>
    <w:rsid w:val="00FE24BC"/>
    <w:rsid w:val="00FE2E37"/>
    <w:rsid w:val="00FE2F8A"/>
    <w:rsid w:val="00FE3B87"/>
    <w:rsid w:val="00FE512C"/>
    <w:rsid w:val="00FE6638"/>
    <w:rsid w:val="00FF1186"/>
    <w:rsid w:val="00FF1EA1"/>
    <w:rsid w:val="00FF1FA4"/>
    <w:rsid w:val="00FF276E"/>
    <w:rsid w:val="00FF2BED"/>
    <w:rsid w:val="00FF310D"/>
    <w:rsid w:val="00FF5FAE"/>
    <w:rsid w:val="00FF62D0"/>
    <w:rsid w:val="00FF6D24"/>
    <w:rsid w:val="00FF6E93"/>
    <w:rsid w:val="00FF72B8"/>
    <w:rsid w:val="00FF7F85"/>
    <w:rsid w:val="083E7269"/>
    <w:rsid w:val="16FE0CBA"/>
    <w:rsid w:val="17E17399"/>
    <w:rsid w:val="18FD1248"/>
    <w:rsid w:val="1D9E011C"/>
    <w:rsid w:val="22C64C01"/>
    <w:rsid w:val="28B4691C"/>
    <w:rsid w:val="29B0575C"/>
    <w:rsid w:val="29FC7BB6"/>
    <w:rsid w:val="305F38FB"/>
    <w:rsid w:val="30D8626B"/>
    <w:rsid w:val="358F4407"/>
    <w:rsid w:val="35A17F3B"/>
    <w:rsid w:val="37A76159"/>
    <w:rsid w:val="3971248D"/>
    <w:rsid w:val="3BD56F03"/>
    <w:rsid w:val="3DCD730F"/>
    <w:rsid w:val="3EBD31AC"/>
    <w:rsid w:val="40352698"/>
    <w:rsid w:val="42A33DB9"/>
    <w:rsid w:val="48AC1CFE"/>
    <w:rsid w:val="4A6E23C9"/>
    <w:rsid w:val="4B7D096D"/>
    <w:rsid w:val="4C0C51E6"/>
    <w:rsid w:val="50113DB7"/>
    <w:rsid w:val="5C6908A6"/>
    <w:rsid w:val="5D106026"/>
    <w:rsid w:val="5F760335"/>
    <w:rsid w:val="616729D0"/>
    <w:rsid w:val="632B53E1"/>
    <w:rsid w:val="670E1FF7"/>
    <w:rsid w:val="67A27E42"/>
    <w:rsid w:val="67C32D47"/>
    <w:rsid w:val="68054659"/>
    <w:rsid w:val="6DCF6791"/>
    <w:rsid w:val="6ED56C7F"/>
    <w:rsid w:val="714B4577"/>
    <w:rsid w:val="738B5432"/>
    <w:rsid w:val="79330B20"/>
    <w:rsid w:val="7C245553"/>
    <w:rsid w:val="7FB30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1"/>
    <w:qFormat/>
    <w:uiPriority w:val="9"/>
    <w:pPr>
      <w:spacing w:before="120" w:after="120" w:line="240" w:lineRule="auto"/>
      <w:jc w:val="center"/>
      <w:outlineLvl w:val="0"/>
    </w:pPr>
    <w:rPr>
      <w:kern w:val="44"/>
    </w:rPr>
  </w:style>
  <w:style w:type="paragraph" w:styleId="5">
    <w:name w:val="heading 2"/>
    <w:basedOn w:val="1"/>
    <w:next w:val="1"/>
    <w:link w:val="52"/>
    <w:qFormat/>
    <w:uiPriority w:val="0"/>
    <w:pPr>
      <w:keepNext/>
      <w:keepLines/>
      <w:spacing w:before="260" w:after="260" w:line="416" w:lineRule="auto"/>
      <w:outlineLvl w:val="1"/>
    </w:pPr>
    <w:rPr>
      <w:rFonts w:ascii="Arial" w:hAnsi="Arial" w:eastAsia="黑体"/>
      <w:sz w:val="32"/>
      <w:szCs w:val="32"/>
    </w:rPr>
  </w:style>
  <w:style w:type="paragraph" w:styleId="6">
    <w:name w:val="heading 3"/>
    <w:basedOn w:val="7"/>
    <w:next w:val="1"/>
    <w:link w:val="53"/>
    <w:qFormat/>
    <w:uiPriority w:val="0"/>
    <w:pPr>
      <w:spacing w:before="260" w:after="260" w:line="416" w:lineRule="auto"/>
      <w:outlineLvl w:val="2"/>
    </w:pPr>
    <w:rPr>
      <w:sz w:val="32"/>
      <w:szCs w:val="32"/>
    </w:rPr>
  </w:style>
  <w:style w:type="paragraph" w:styleId="7">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88"/>
    <w:qFormat/>
    <w:uiPriority w:val="0"/>
    <w:pPr>
      <w:keepNext/>
      <w:keepLines/>
      <w:spacing w:before="280" w:after="290" w:line="376" w:lineRule="auto"/>
      <w:outlineLvl w:val="4"/>
    </w:pPr>
    <w:rPr>
      <w:b/>
      <w:bCs/>
      <w:sz w:val="28"/>
      <w:szCs w:val="28"/>
    </w:rPr>
  </w:style>
  <w:style w:type="paragraph" w:styleId="9">
    <w:name w:val="heading 6"/>
    <w:basedOn w:val="1"/>
    <w:next w:val="1"/>
    <w:link w:val="89"/>
    <w:qFormat/>
    <w:uiPriority w:val="0"/>
    <w:pPr>
      <w:keepNext/>
      <w:keepLines/>
      <w:spacing w:before="240" w:after="64" w:line="320" w:lineRule="auto"/>
      <w:outlineLvl w:val="5"/>
    </w:pPr>
    <w:rPr>
      <w:rFonts w:ascii="Cambria" w:hAnsi="Cambria"/>
      <w:b/>
      <w:bCs/>
      <w:sz w:val="24"/>
    </w:rPr>
  </w:style>
  <w:style w:type="paragraph" w:styleId="10">
    <w:name w:val="heading 7"/>
    <w:basedOn w:val="1"/>
    <w:next w:val="1"/>
    <w:link w:val="90"/>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9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92"/>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45">
    <w:name w:val="Default Paragraph Font"/>
    <w:semiHidden/>
    <w:unhideWhenUsed/>
    <w:qFormat/>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07"/>
    <w:qFormat/>
    <w:uiPriority w:val="0"/>
    <w:pPr>
      <w:ind w:firstLine="420" w:firstLineChars="200"/>
    </w:pPr>
  </w:style>
  <w:style w:type="paragraph" w:styleId="3">
    <w:name w:val="Body Text Indent"/>
    <w:basedOn w:val="1"/>
    <w:link w:val="94"/>
    <w:qFormat/>
    <w:uiPriority w:val="0"/>
    <w:pPr>
      <w:spacing w:after="120"/>
      <w:ind w:left="420" w:leftChars="200"/>
    </w:p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Normal Indent"/>
    <w:basedOn w:val="1"/>
    <w:link w:val="69"/>
    <w:qFormat/>
    <w:uiPriority w:val="0"/>
    <w:pPr>
      <w:ind w:firstLine="420" w:firstLineChars="200"/>
    </w:pPr>
    <w:rPr>
      <w:kern w:val="0"/>
      <w:sz w:val="20"/>
    </w:rPr>
  </w:style>
  <w:style w:type="paragraph" w:styleId="15">
    <w:name w:val="caption"/>
    <w:basedOn w:val="1"/>
    <w:next w:val="1"/>
    <w:link w:val="139"/>
    <w:qFormat/>
    <w:uiPriority w:val="0"/>
    <w:pPr>
      <w:numPr>
        <w:ilvl w:val="0"/>
        <w:numId w:val="1"/>
      </w:numPr>
      <w:spacing w:line="360" w:lineRule="auto"/>
      <w:jc w:val="center"/>
    </w:pPr>
    <w:rPr>
      <w:rFonts w:ascii="Arial Unicode MS" w:hAnsi="Arial Unicode MS"/>
      <w:kern w:val="0"/>
      <w:sz w:val="20"/>
      <w:szCs w:val="20"/>
    </w:rPr>
  </w:style>
  <w:style w:type="paragraph" w:styleId="16">
    <w:name w:val="List Bullet"/>
    <w:basedOn w:val="1"/>
    <w:qFormat/>
    <w:uiPriority w:val="0"/>
    <w:pPr>
      <w:widowControl/>
      <w:numPr>
        <w:ilvl w:val="0"/>
        <w:numId w:val="2"/>
      </w:numPr>
      <w:spacing w:beforeLines="50" w:afterLines="50"/>
      <w:ind w:firstLine="0"/>
      <w:jc w:val="left"/>
    </w:pPr>
    <w:rPr>
      <w:kern w:val="0"/>
      <w:sz w:val="20"/>
      <w:szCs w:val="20"/>
    </w:rPr>
  </w:style>
  <w:style w:type="paragraph" w:styleId="17">
    <w:name w:val="Document Map"/>
    <w:basedOn w:val="1"/>
    <w:link w:val="70"/>
    <w:qFormat/>
    <w:uiPriority w:val="0"/>
    <w:pPr>
      <w:shd w:val="clear" w:color="auto" w:fill="000080"/>
    </w:pPr>
  </w:style>
  <w:style w:type="paragraph" w:styleId="18">
    <w:name w:val="annotation text"/>
    <w:basedOn w:val="1"/>
    <w:link w:val="72"/>
    <w:qFormat/>
    <w:uiPriority w:val="99"/>
    <w:pPr>
      <w:jc w:val="left"/>
    </w:pPr>
  </w:style>
  <w:style w:type="paragraph" w:styleId="19">
    <w:name w:val="Body Text 3"/>
    <w:basedOn w:val="1"/>
    <w:link w:val="199"/>
    <w:qFormat/>
    <w:uiPriority w:val="0"/>
    <w:pPr>
      <w:spacing w:after="120"/>
    </w:pPr>
    <w:rPr>
      <w:sz w:val="16"/>
      <w:szCs w:val="16"/>
    </w:rPr>
  </w:style>
  <w:style w:type="paragraph" w:styleId="20">
    <w:name w:val="Body Text"/>
    <w:basedOn w:val="1"/>
    <w:next w:val="1"/>
    <w:link w:val="71"/>
    <w:qFormat/>
    <w:uiPriority w:val="0"/>
    <w:pPr>
      <w:spacing w:after="120"/>
    </w:pPr>
  </w:style>
  <w:style w:type="paragraph" w:styleId="21">
    <w:name w:val="toc 5"/>
    <w:basedOn w:val="1"/>
    <w:next w:val="1"/>
    <w:unhideWhenUsed/>
    <w:qFormat/>
    <w:uiPriority w:val="0"/>
    <w:pPr>
      <w:ind w:left="840"/>
      <w:jc w:val="left"/>
    </w:pPr>
    <w:rPr>
      <w:rFonts w:ascii="Calibri" w:hAnsi="Calibri"/>
      <w:sz w:val="18"/>
      <w:szCs w:val="18"/>
    </w:rPr>
  </w:style>
  <w:style w:type="paragraph" w:styleId="22">
    <w:name w:val="toc 3"/>
    <w:basedOn w:val="1"/>
    <w:next w:val="1"/>
    <w:unhideWhenUsed/>
    <w:qFormat/>
    <w:uiPriority w:val="39"/>
    <w:pPr>
      <w:ind w:left="420"/>
      <w:jc w:val="left"/>
    </w:pPr>
    <w:rPr>
      <w:rFonts w:ascii="Calibri" w:hAnsi="Calibri"/>
      <w:i/>
      <w:iCs/>
      <w:sz w:val="20"/>
      <w:szCs w:val="20"/>
    </w:rPr>
  </w:style>
  <w:style w:type="paragraph" w:styleId="23">
    <w:name w:val="Plain Text"/>
    <w:basedOn w:val="1"/>
    <w:link w:val="66"/>
    <w:qFormat/>
    <w:uiPriority w:val="0"/>
    <w:rPr>
      <w:rFonts w:ascii="宋体" w:hAnsi="Courier New"/>
      <w:szCs w:val="20"/>
    </w:rPr>
  </w:style>
  <w:style w:type="paragraph" w:styleId="24">
    <w:name w:val="toc 8"/>
    <w:basedOn w:val="1"/>
    <w:next w:val="1"/>
    <w:unhideWhenUsed/>
    <w:qFormat/>
    <w:uiPriority w:val="0"/>
    <w:pPr>
      <w:ind w:left="1470"/>
      <w:jc w:val="left"/>
    </w:pPr>
    <w:rPr>
      <w:rFonts w:ascii="Calibri" w:hAnsi="Calibri"/>
      <w:sz w:val="18"/>
      <w:szCs w:val="18"/>
    </w:rPr>
  </w:style>
  <w:style w:type="paragraph" w:styleId="25">
    <w:name w:val="Date"/>
    <w:basedOn w:val="1"/>
    <w:next w:val="1"/>
    <w:link w:val="198"/>
    <w:qFormat/>
    <w:uiPriority w:val="0"/>
    <w:pPr>
      <w:ind w:left="100" w:leftChars="2500"/>
    </w:pPr>
  </w:style>
  <w:style w:type="paragraph" w:styleId="26">
    <w:name w:val="Body Text Indent 2"/>
    <w:basedOn w:val="1"/>
    <w:link w:val="93"/>
    <w:qFormat/>
    <w:uiPriority w:val="0"/>
    <w:pPr>
      <w:spacing w:after="120" w:line="480" w:lineRule="auto"/>
      <w:ind w:left="420" w:leftChars="200"/>
    </w:pPr>
  </w:style>
  <w:style w:type="paragraph" w:styleId="27">
    <w:name w:val="Balloon Text"/>
    <w:basedOn w:val="1"/>
    <w:link w:val="74"/>
    <w:qFormat/>
    <w:uiPriority w:val="0"/>
    <w:rPr>
      <w:sz w:val="18"/>
      <w:szCs w:val="18"/>
    </w:rPr>
  </w:style>
  <w:style w:type="paragraph" w:styleId="28">
    <w:name w:val="footer"/>
    <w:basedOn w:val="1"/>
    <w:link w:val="56"/>
    <w:qFormat/>
    <w:uiPriority w:val="0"/>
    <w:pPr>
      <w:tabs>
        <w:tab w:val="center" w:pos="4153"/>
        <w:tab w:val="right" w:pos="8306"/>
      </w:tabs>
      <w:snapToGrid w:val="0"/>
      <w:jc w:val="left"/>
    </w:pPr>
    <w:rPr>
      <w:sz w:val="18"/>
      <w:szCs w:val="18"/>
    </w:rPr>
  </w:style>
  <w:style w:type="paragraph" w:styleId="29">
    <w:name w:val="header"/>
    <w:basedOn w:val="1"/>
    <w:link w:val="55"/>
    <w:qFormat/>
    <w:uiPriority w:val="0"/>
    <w:pPr>
      <w:pBdr>
        <w:bottom w:val="single" w:color="auto" w:sz="6" w:space="0"/>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Calibri" w:hAnsi="Calibri"/>
      <w:b/>
      <w:bCs/>
      <w:caps/>
      <w:sz w:val="20"/>
      <w:szCs w:val="20"/>
    </w:rPr>
  </w:style>
  <w:style w:type="paragraph" w:styleId="31">
    <w:name w:val="toc 4"/>
    <w:basedOn w:val="1"/>
    <w:next w:val="1"/>
    <w:unhideWhenUsed/>
    <w:qFormat/>
    <w:uiPriority w:val="0"/>
    <w:pPr>
      <w:ind w:left="630"/>
      <w:jc w:val="left"/>
    </w:pPr>
    <w:rPr>
      <w:rFonts w:ascii="Calibri" w:hAnsi="Calibri"/>
      <w:sz w:val="18"/>
      <w:szCs w:val="18"/>
    </w:rPr>
  </w:style>
  <w:style w:type="paragraph" w:styleId="32">
    <w:name w:val="toc 6"/>
    <w:basedOn w:val="1"/>
    <w:next w:val="1"/>
    <w:unhideWhenUsed/>
    <w:qFormat/>
    <w:uiPriority w:val="0"/>
    <w:pPr>
      <w:ind w:left="1050"/>
      <w:jc w:val="left"/>
    </w:pPr>
    <w:rPr>
      <w:rFonts w:ascii="Calibri" w:hAnsi="Calibri"/>
      <w:sz w:val="18"/>
      <w:szCs w:val="18"/>
    </w:rPr>
  </w:style>
  <w:style w:type="paragraph" w:styleId="33">
    <w:name w:val="Body Text Indent 3"/>
    <w:basedOn w:val="1"/>
    <w:link w:val="145"/>
    <w:qFormat/>
    <w:uiPriority w:val="0"/>
    <w:pPr>
      <w:spacing w:after="120"/>
      <w:ind w:left="420" w:leftChars="200"/>
    </w:pPr>
    <w:rPr>
      <w:sz w:val="16"/>
      <w:szCs w:val="16"/>
    </w:rPr>
  </w:style>
  <w:style w:type="paragraph" w:styleId="34">
    <w:name w:val="toc 2"/>
    <w:basedOn w:val="1"/>
    <w:next w:val="1"/>
    <w:unhideWhenUsed/>
    <w:qFormat/>
    <w:uiPriority w:val="39"/>
    <w:pPr>
      <w:ind w:left="210"/>
      <w:jc w:val="left"/>
    </w:pPr>
    <w:rPr>
      <w:rFonts w:ascii="Calibri" w:hAnsi="Calibri"/>
      <w:smallCaps/>
      <w:sz w:val="20"/>
      <w:szCs w:val="20"/>
    </w:rPr>
  </w:style>
  <w:style w:type="paragraph" w:styleId="35">
    <w:name w:val="toc 9"/>
    <w:basedOn w:val="1"/>
    <w:next w:val="1"/>
    <w:unhideWhenUsed/>
    <w:qFormat/>
    <w:uiPriority w:val="0"/>
    <w:pPr>
      <w:ind w:left="1680"/>
      <w:jc w:val="left"/>
    </w:pPr>
    <w:rPr>
      <w:rFonts w:ascii="Calibri" w:hAnsi="Calibri"/>
      <w:sz w:val="18"/>
      <w:szCs w:val="18"/>
    </w:rPr>
  </w:style>
  <w:style w:type="paragraph" w:styleId="36">
    <w:name w:val="Body Text 2"/>
    <w:basedOn w:val="1"/>
    <w:link w:val="146"/>
    <w:qFormat/>
    <w:uiPriority w:val="0"/>
    <w:pPr>
      <w:spacing w:after="120" w:line="480" w:lineRule="auto"/>
    </w:pPr>
  </w:style>
  <w:style w:type="paragraph" w:styleId="37">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qFormat/>
    <w:uiPriority w:val="0"/>
    <w:pPr>
      <w:widowControl/>
      <w:spacing w:before="100" w:beforeAutospacing="1" w:after="100" w:afterAutospacing="1"/>
      <w:jc w:val="left"/>
    </w:pPr>
    <w:rPr>
      <w:kern w:val="0"/>
      <w:sz w:val="24"/>
    </w:rPr>
  </w:style>
  <w:style w:type="paragraph" w:styleId="39">
    <w:name w:val="index 1"/>
    <w:basedOn w:val="1"/>
    <w:next w:val="1"/>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58"/>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73"/>
    <w:semiHidden/>
    <w:qFormat/>
    <w:uiPriority w:val="0"/>
    <w:rPr>
      <w:b/>
      <w:bCs/>
    </w:rPr>
  </w:style>
  <w:style w:type="paragraph" w:styleId="42">
    <w:name w:val="Body Text First Indent"/>
    <w:basedOn w:val="20"/>
    <w:link w:val="239"/>
    <w:qFormat/>
    <w:uiPriority w:val="0"/>
    <w:pPr>
      <w:ind w:firstLine="420" w:firstLineChars="100"/>
    </w:pPr>
    <w:rPr>
      <w:b/>
      <w:bCs/>
    </w:rPr>
  </w:style>
  <w:style w:type="table" w:styleId="44">
    <w:name w:val="Table Grid"/>
    <w:basedOn w:val="4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Emphasis"/>
    <w:qFormat/>
    <w:uiPriority w:val="0"/>
    <w:rPr>
      <w:rFonts w:ascii="仿宋_GB2312" w:eastAsia="仿宋_GB2312"/>
      <w:b/>
      <w:color w:val="CC0000"/>
      <w:kern w:val="2"/>
      <w:sz w:val="28"/>
      <w:szCs w:val="28"/>
      <w:lang w:val="en-US" w:eastAsia="zh-CN" w:bidi="ar-SA"/>
    </w:rPr>
  </w:style>
  <w:style w:type="character" w:styleId="49">
    <w:name w:val="Hyperlink"/>
    <w:basedOn w:val="45"/>
    <w:qFormat/>
    <w:uiPriority w:val="99"/>
    <w:rPr>
      <w:color w:val="0000FF"/>
      <w:u w:val="single"/>
    </w:rPr>
  </w:style>
  <w:style w:type="character" w:styleId="50">
    <w:name w:val="annotation reference"/>
    <w:qFormat/>
    <w:uiPriority w:val="99"/>
    <w:rPr>
      <w:sz w:val="21"/>
      <w:szCs w:val="21"/>
    </w:rPr>
  </w:style>
  <w:style w:type="character" w:customStyle="1" w:styleId="51">
    <w:name w:val="標題 1 字元"/>
    <w:link w:val="4"/>
    <w:qFormat/>
    <w:uiPriority w:val="9"/>
    <w:rPr>
      <w:rFonts w:ascii="Arial" w:hAnsi="Arial" w:eastAsia="黑体" w:cs="Times New Roman"/>
      <w:kern w:val="44"/>
      <w:sz w:val="32"/>
      <w:szCs w:val="32"/>
    </w:rPr>
  </w:style>
  <w:style w:type="character" w:customStyle="1" w:styleId="52">
    <w:name w:val="標題 2 字元"/>
    <w:link w:val="5"/>
    <w:qFormat/>
    <w:uiPriority w:val="0"/>
    <w:rPr>
      <w:rFonts w:ascii="Arial" w:hAnsi="Arial" w:eastAsia="黑体" w:cs="Times New Roman"/>
      <w:b/>
      <w:bCs/>
      <w:sz w:val="32"/>
      <w:szCs w:val="32"/>
    </w:rPr>
  </w:style>
  <w:style w:type="character" w:customStyle="1" w:styleId="53">
    <w:name w:val="標題 3 字元"/>
    <w:link w:val="6"/>
    <w:qFormat/>
    <w:uiPriority w:val="0"/>
    <w:rPr>
      <w:rFonts w:ascii="Times New Roman" w:hAnsi="Times New Roman" w:eastAsia="宋体" w:cs="Times New Roman"/>
      <w:b/>
      <w:bCs/>
      <w:sz w:val="32"/>
      <w:szCs w:val="32"/>
    </w:rPr>
  </w:style>
  <w:style w:type="character" w:customStyle="1" w:styleId="54">
    <w:name w:val="標題 4 字元"/>
    <w:link w:val="7"/>
    <w:qFormat/>
    <w:uiPriority w:val="0"/>
    <w:rPr>
      <w:rFonts w:ascii="Arial" w:hAnsi="Arial" w:eastAsia="黑体" w:cs="Times New Roman"/>
      <w:b/>
      <w:bCs/>
      <w:sz w:val="28"/>
      <w:szCs w:val="28"/>
    </w:rPr>
  </w:style>
  <w:style w:type="character" w:customStyle="1" w:styleId="55">
    <w:name w:val="頁首 字元"/>
    <w:link w:val="29"/>
    <w:qFormat/>
    <w:uiPriority w:val="0"/>
    <w:rPr>
      <w:rFonts w:ascii="Times New Roman" w:hAnsi="Times New Roman" w:eastAsia="宋体" w:cs="Times New Roman"/>
      <w:sz w:val="18"/>
      <w:szCs w:val="18"/>
    </w:rPr>
  </w:style>
  <w:style w:type="character" w:customStyle="1" w:styleId="56">
    <w:name w:val="頁尾 字元"/>
    <w:link w:val="28"/>
    <w:qFormat/>
    <w:uiPriority w:val="0"/>
    <w:rPr>
      <w:rFonts w:ascii="Times New Roman" w:hAnsi="Times New Roman" w:eastAsia="宋体" w:cs="Times New Roman"/>
      <w:sz w:val="18"/>
      <w:szCs w:val="18"/>
    </w:rPr>
  </w:style>
  <w:style w:type="paragraph" w:customStyle="1" w:styleId="5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8">
    <w:name w:val="標題 字元"/>
    <w:link w:val="40"/>
    <w:qFormat/>
    <w:uiPriority w:val="0"/>
    <w:rPr>
      <w:rFonts w:ascii="Arial" w:hAnsi="Arial" w:eastAsia="隶书" w:cs="Arial"/>
      <w:b/>
      <w:bCs/>
      <w:sz w:val="32"/>
      <w:szCs w:val="32"/>
    </w:rPr>
  </w:style>
  <w:style w:type="paragraph" w:customStyle="1" w:styleId="59">
    <w:name w:val="样式1 Char Char"/>
    <w:basedOn w:val="1"/>
    <w:next w:val="1"/>
    <w:link w:val="60"/>
    <w:qFormat/>
    <w:uiPriority w:val="0"/>
    <w:pPr>
      <w:spacing w:line="360" w:lineRule="auto"/>
      <w:ind w:firstLine="516" w:firstLineChars="215"/>
    </w:pPr>
    <w:rPr>
      <w:kern w:val="0"/>
      <w:sz w:val="24"/>
      <w:szCs w:val="20"/>
    </w:rPr>
  </w:style>
  <w:style w:type="character" w:customStyle="1" w:styleId="60">
    <w:name w:val="样式1 Char Char Char"/>
    <w:link w:val="59"/>
    <w:qFormat/>
    <w:uiPriority w:val="0"/>
    <w:rPr>
      <w:rFonts w:ascii="Times New Roman" w:hAnsi="Times New Roman" w:eastAsia="宋体" w:cs="Times New Roman"/>
      <w:sz w:val="24"/>
      <w:szCs w:val="20"/>
    </w:rPr>
  </w:style>
  <w:style w:type="character" w:customStyle="1" w:styleId="61">
    <w:name w:val="HTML 預設格式 字元"/>
    <w:link w:val="37"/>
    <w:qFormat/>
    <w:uiPriority w:val="0"/>
    <w:rPr>
      <w:rFonts w:ascii="宋体" w:hAnsi="宋体" w:eastAsia="宋体" w:cs="宋体"/>
      <w:kern w:val="0"/>
      <w:sz w:val="24"/>
      <w:szCs w:val="24"/>
    </w:rPr>
  </w:style>
  <w:style w:type="paragraph" w:customStyle="1" w:styleId="62">
    <w:name w:val="样式1"/>
    <w:basedOn w:val="40"/>
    <w:link w:val="63"/>
    <w:qFormat/>
    <w:uiPriority w:val="0"/>
    <w:pPr>
      <w:spacing w:before="120" w:after="120"/>
    </w:pPr>
    <w:rPr>
      <w:rFonts w:eastAsia="黑体" w:cs="Times New Roman"/>
      <w:b w:val="0"/>
      <w:kern w:val="0"/>
      <w:sz w:val="30"/>
      <w:szCs w:val="21"/>
    </w:rPr>
  </w:style>
  <w:style w:type="character" w:customStyle="1" w:styleId="63">
    <w:name w:val="样式1 Char"/>
    <w:link w:val="62"/>
    <w:qFormat/>
    <w:uiPriority w:val="0"/>
    <w:rPr>
      <w:rFonts w:ascii="Arial" w:hAnsi="Arial" w:eastAsia="黑体" w:cs="Arial"/>
      <w:bCs/>
      <w:sz w:val="30"/>
      <w:szCs w:val="21"/>
    </w:rPr>
  </w:style>
  <w:style w:type="paragraph" w:customStyle="1" w:styleId="6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6">
    <w:name w:val="純文字 字元"/>
    <w:link w:val="23"/>
    <w:qFormat/>
    <w:uiPriority w:val="0"/>
    <w:rPr>
      <w:rFonts w:ascii="宋体" w:hAnsi="Courier New" w:eastAsia="宋体" w:cs="Times New Roman"/>
      <w:szCs w:val="20"/>
    </w:rPr>
  </w:style>
  <w:style w:type="paragraph" w:customStyle="1" w:styleId="67">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68">
    <w:name w:val="Char11"/>
    <w:basedOn w:val="1"/>
    <w:qFormat/>
    <w:uiPriority w:val="0"/>
    <w:rPr>
      <w:rFonts w:ascii="仿宋_GB2312" w:eastAsia="仿宋_GB2312"/>
      <w:b/>
      <w:sz w:val="32"/>
      <w:szCs w:val="32"/>
    </w:rPr>
  </w:style>
  <w:style w:type="character" w:customStyle="1" w:styleId="69">
    <w:name w:val="內文縮排 字元"/>
    <w:link w:val="14"/>
    <w:qFormat/>
    <w:uiPriority w:val="0"/>
    <w:rPr>
      <w:rFonts w:ascii="Times New Roman" w:hAnsi="Times New Roman" w:eastAsia="宋体" w:cs="Times New Roman"/>
      <w:szCs w:val="24"/>
    </w:rPr>
  </w:style>
  <w:style w:type="character" w:customStyle="1" w:styleId="70">
    <w:name w:val="文件引導模式 字元"/>
    <w:link w:val="17"/>
    <w:qFormat/>
    <w:uiPriority w:val="0"/>
    <w:rPr>
      <w:rFonts w:ascii="Times New Roman" w:hAnsi="Times New Roman" w:eastAsia="宋体" w:cs="Times New Roman"/>
      <w:szCs w:val="24"/>
      <w:shd w:val="clear" w:color="auto" w:fill="000080"/>
    </w:rPr>
  </w:style>
  <w:style w:type="character" w:customStyle="1" w:styleId="71">
    <w:name w:val="本文 字元"/>
    <w:link w:val="20"/>
    <w:qFormat/>
    <w:uiPriority w:val="0"/>
    <w:rPr>
      <w:rFonts w:ascii="Times New Roman" w:hAnsi="Times New Roman" w:eastAsia="宋体" w:cs="Times New Roman"/>
      <w:szCs w:val="24"/>
    </w:rPr>
  </w:style>
  <w:style w:type="character" w:customStyle="1" w:styleId="72">
    <w:name w:val="註解文字 字元"/>
    <w:link w:val="18"/>
    <w:qFormat/>
    <w:uiPriority w:val="99"/>
    <w:rPr>
      <w:rFonts w:ascii="Times New Roman" w:hAnsi="Times New Roman" w:eastAsia="宋体" w:cs="Times New Roman"/>
      <w:szCs w:val="24"/>
    </w:rPr>
  </w:style>
  <w:style w:type="character" w:customStyle="1" w:styleId="73">
    <w:name w:val="註解主旨 字元"/>
    <w:link w:val="41"/>
    <w:semiHidden/>
    <w:qFormat/>
    <w:uiPriority w:val="0"/>
    <w:rPr>
      <w:rFonts w:ascii="Times New Roman" w:hAnsi="Times New Roman" w:eastAsia="宋体" w:cs="Times New Roman"/>
      <w:b/>
      <w:bCs/>
      <w:szCs w:val="24"/>
    </w:rPr>
  </w:style>
  <w:style w:type="character" w:customStyle="1" w:styleId="74">
    <w:name w:val="註解方塊文字 字元"/>
    <w:link w:val="27"/>
    <w:qFormat/>
    <w:uiPriority w:val="0"/>
    <w:rPr>
      <w:rFonts w:ascii="Times New Roman" w:hAnsi="Times New Roman" w:eastAsia="宋体" w:cs="Times New Roman"/>
      <w:sz w:val="18"/>
      <w:szCs w:val="18"/>
    </w:rPr>
  </w:style>
  <w:style w:type="paragraph" w:customStyle="1" w:styleId="75">
    <w:name w:val="USE 1"/>
    <w:basedOn w:val="1"/>
    <w:qFormat/>
    <w:uiPriority w:val="0"/>
    <w:pPr>
      <w:spacing w:line="200" w:lineRule="atLeast"/>
      <w:jc w:val="left"/>
    </w:pPr>
    <w:rPr>
      <w:rFonts w:ascii="宋体" w:hAnsi="宋体"/>
      <w:b/>
      <w:sz w:val="24"/>
      <w:szCs w:val="28"/>
    </w:rPr>
  </w:style>
  <w:style w:type="character" w:customStyle="1" w:styleId="76">
    <w:name w:val="正文缩进2格 Char"/>
    <w:link w:val="77"/>
    <w:qFormat/>
    <w:locked/>
    <w:uiPriority w:val="0"/>
    <w:rPr>
      <w:rFonts w:ascii="仿宋_GB2312" w:hAnsi="宋体" w:eastAsia="仿宋_GB2312"/>
      <w:sz w:val="28"/>
    </w:rPr>
  </w:style>
  <w:style w:type="paragraph" w:customStyle="1" w:styleId="77">
    <w:name w:val="正文缩进2格"/>
    <w:basedOn w:val="1"/>
    <w:link w:val="76"/>
    <w:qFormat/>
    <w:uiPriority w:val="0"/>
    <w:pPr>
      <w:spacing w:line="600" w:lineRule="exact"/>
      <w:ind w:firstLine="639" w:firstLineChars="206"/>
    </w:pPr>
    <w:rPr>
      <w:rFonts w:ascii="仿宋_GB2312" w:hAnsi="宋体" w:eastAsia="仿宋_GB2312"/>
      <w:kern w:val="0"/>
      <w:sz w:val="28"/>
      <w:szCs w:val="20"/>
    </w:rPr>
  </w:style>
  <w:style w:type="paragraph" w:customStyle="1" w:styleId="78">
    <w:name w:val="样式2"/>
    <w:basedOn w:val="18"/>
    <w:link w:val="79"/>
    <w:qFormat/>
    <w:uiPriority w:val="0"/>
    <w:rPr>
      <w:kern w:val="0"/>
      <w:sz w:val="20"/>
    </w:rPr>
  </w:style>
  <w:style w:type="character" w:customStyle="1" w:styleId="79">
    <w:name w:val="样式2 Char"/>
    <w:link w:val="78"/>
    <w:qFormat/>
    <w:uiPriority w:val="0"/>
    <w:rPr>
      <w:rFonts w:ascii="Times New Roman" w:hAnsi="Times New Roman" w:eastAsia="宋体" w:cs="Times New Roman"/>
      <w:szCs w:val="24"/>
    </w:rPr>
  </w:style>
  <w:style w:type="paragraph" w:customStyle="1" w:styleId="80">
    <w:name w:val="列出段落1"/>
    <w:basedOn w:val="1"/>
    <w:qFormat/>
    <w:uiPriority w:val="34"/>
    <w:pPr>
      <w:ind w:firstLine="420" w:firstLineChars="200"/>
    </w:pPr>
  </w:style>
  <w:style w:type="paragraph" w:customStyle="1" w:styleId="81">
    <w:name w:val="列出段落2"/>
    <w:basedOn w:val="1"/>
    <w:link w:val="115"/>
    <w:qFormat/>
    <w:uiPriority w:val="34"/>
    <w:pPr>
      <w:ind w:firstLine="420" w:firstLineChars="200"/>
    </w:pPr>
    <w:rPr>
      <w:kern w:val="0"/>
      <w:sz w:val="20"/>
    </w:rPr>
  </w:style>
  <w:style w:type="character" w:customStyle="1" w:styleId="82">
    <w:name w:val="表正文 Char2"/>
    <w:qFormat/>
    <w:uiPriority w:val="0"/>
    <w:rPr>
      <w:rFonts w:eastAsia="宋体"/>
      <w:kern w:val="2"/>
      <w:sz w:val="21"/>
      <w:szCs w:val="24"/>
      <w:lang w:val="en-US" w:eastAsia="zh-CN" w:bidi="ar-SA"/>
    </w:rPr>
  </w:style>
  <w:style w:type="paragraph" w:customStyle="1" w:styleId="83">
    <w:name w:val="TOC 标题1"/>
    <w:basedOn w:val="4"/>
    <w:next w:val="1"/>
    <w:unhideWhenUsed/>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84">
    <w:name w:val="样式 标题 2 + 段前: 13 磅 段后: 13 磅 行距: 单倍行距"/>
    <w:basedOn w:val="5"/>
    <w:qFormat/>
    <w:uiPriority w:val="0"/>
    <w:pPr>
      <w:spacing w:before="0" w:after="0" w:line="240" w:lineRule="auto"/>
    </w:pPr>
    <w:rPr>
      <w:rFonts w:ascii="Cambria" w:hAnsi="Cambria" w:eastAsia="宋体" w:cs="宋体"/>
      <w:szCs w:val="20"/>
    </w:rPr>
  </w:style>
  <w:style w:type="character" w:customStyle="1" w:styleId="85">
    <w:name w:val="不明显强调1"/>
    <w:qFormat/>
    <w:uiPriority w:val="19"/>
    <w:rPr>
      <w:i/>
      <w:iCs/>
      <w:color w:val="808080"/>
    </w:rPr>
  </w:style>
  <w:style w:type="paragraph" w:customStyle="1" w:styleId="8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不明显参考1"/>
    <w:qFormat/>
    <w:uiPriority w:val="31"/>
    <w:rPr>
      <w:smallCaps/>
      <w:color w:val="C0504D"/>
      <w:u w:val="single"/>
    </w:rPr>
  </w:style>
  <w:style w:type="character" w:customStyle="1" w:styleId="88">
    <w:name w:val="標題 5 字元"/>
    <w:link w:val="8"/>
    <w:qFormat/>
    <w:uiPriority w:val="0"/>
    <w:rPr>
      <w:rFonts w:ascii="Times New Roman" w:hAnsi="Times New Roman" w:eastAsia="宋体" w:cs="Times New Roman"/>
      <w:b/>
      <w:bCs/>
      <w:sz w:val="28"/>
      <w:szCs w:val="28"/>
    </w:rPr>
  </w:style>
  <w:style w:type="character" w:customStyle="1" w:styleId="89">
    <w:name w:val="標題 6 字元"/>
    <w:link w:val="9"/>
    <w:qFormat/>
    <w:uiPriority w:val="0"/>
    <w:rPr>
      <w:rFonts w:ascii="Cambria" w:hAnsi="Cambria" w:eastAsia="宋体" w:cs="Times New Roman"/>
      <w:b/>
      <w:bCs/>
      <w:sz w:val="24"/>
      <w:szCs w:val="24"/>
    </w:rPr>
  </w:style>
  <w:style w:type="character" w:customStyle="1" w:styleId="90">
    <w:name w:val="標題 7 字元"/>
    <w:link w:val="10"/>
    <w:qFormat/>
    <w:uiPriority w:val="0"/>
    <w:rPr>
      <w:rFonts w:ascii="Times New Roman" w:hAnsi="Times New Roman" w:eastAsia="宋体" w:cs="Times New Roman"/>
      <w:b/>
      <w:bCs/>
      <w:sz w:val="24"/>
      <w:szCs w:val="24"/>
    </w:rPr>
  </w:style>
  <w:style w:type="character" w:customStyle="1" w:styleId="91">
    <w:name w:val="標題 8 字元"/>
    <w:link w:val="11"/>
    <w:qFormat/>
    <w:uiPriority w:val="0"/>
    <w:rPr>
      <w:rFonts w:ascii="Arial" w:hAnsi="Arial" w:eastAsia="黑体" w:cs="Times New Roman"/>
      <w:sz w:val="24"/>
      <w:szCs w:val="24"/>
    </w:rPr>
  </w:style>
  <w:style w:type="character" w:customStyle="1" w:styleId="92">
    <w:name w:val="標題 9 字元"/>
    <w:link w:val="12"/>
    <w:qFormat/>
    <w:uiPriority w:val="0"/>
    <w:rPr>
      <w:rFonts w:ascii="Arial" w:hAnsi="Arial" w:eastAsia="黑体" w:cs="Times New Roman"/>
      <w:sz w:val="24"/>
      <w:szCs w:val="21"/>
    </w:rPr>
  </w:style>
  <w:style w:type="character" w:customStyle="1" w:styleId="93">
    <w:name w:val="本文縮排 2 字元"/>
    <w:link w:val="26"/>
    <w:qFormat/>
    <w:uiPriority w:val="0"/>
    <w:rPr>
      <w:rFonts w:ascii="Times New Roman" w:hAnsi="Times New Roman" w:eastAsia="宋体" w:cs="Times New Roman"/>
      <w:szCs w:val="24"/>
    </w:rPr>
  </w:style>
  <w:style w:type="character" w:customStyle="1" w:styleId="94">
    <w:name w:val="本文縮排 字元"/>
    <w:link w:val="3"/>
    <w:qFormat/>
    <w:uiPriority w:val="0"/>
    <w:rPr>
      <w:rFonts w:ascii="Times New Roman" w:hAnsi="Times New Roman" w:eastAsia="宋体" w:cs="Times New Roman"/>
      <w:szCs w:val="24"/>
    </w:rPr>
  </w:style>
  <w:style w:type="paragraph" w:customStyle="1" w:styleId="95">
    <w:name w:val="样式 正文缩进 + 首行缩进:  2 字符"/>
    <w:basedOn w:val="14"/>
    <w:qFormat/>
    <w:uiPriority w:val="0"/>
    <w:pPr>
      <w:spacing w:line="360" w:lineRule="auto"/>
      <w:ind w:firstLine="480"/>
    </w:pPr>
    <w:rPr>
      <w:rFonts w:ascii="宋体" w:hAnsi="宋体" w:cs="Century"/>
      <w:sz w:val="24"/>
      <w:szCs w:val="20"/>
    </w:rPr>
  </w:style>
  <w:style w:type="paragraph" w:customStyle="1" w:styleId="96">
    <w:name w:val="Char Char Char"/>
    <w:basedOn w:val="1"/>
    <w:qFormat/>
    <w:uiPriority w:val="0"/>
    <w:rPr>
      <w:rFonts w:ascii="Tahoma" w:hAnsi="Tahoma"/>
      <w:b/>
      <w:kern w:val="0"/>
      <w:sz w:val="28"/>
      <w:szCs w:val="20"/>
    </w:rPr>
  </w:style>
  <w:style w:type="paragraph" w:customStyle="1" w:styleId="97">
    <w:name w:val="Char Char Char Char Char Char Char"/>
    <w:basedOn w:val="17"/>
    <w:qFormat/>
    <w:uiPriority w:val="0"/>
    <w:rPr>
      <w:rFonts w:ascii="Tahoma" w:hAnsi="Tahoma"/>
      <w:sz w:val="24"/>
    </w:rPr>
  </w:style>
  <w:style w:type="character" w:customStyle="1" w:styleId="98">
    <w:name w:val="op_url3_showurl_url1"/>
    <w:qFormat/>
    <w:uiPriority w:val="0"/>
    <w:rPr>
      <w:color w:val="008000"/>
      <w:sz w:val="16"/>
      <w:szCs w:val="16"/>
    </w:rPr>
  </w:style>
  <w:style w:type="character" w:customStyle="1" w:styleId="99">
    <w:name w:val="g1"/>
    <w:qFormat/>
    <w:uiPriority w:val="0"/>
    <w:rPr>
      <w:color w:val="008000"/>
    </w:rPr>
  </w:style>
  <w:style w:type="character" w:customStyle="1" w:styleId="100">
    <w:name w:val="二级标题 Char Char"/>
    <w:link w:val="101"/>
    <w:qFormat/>
    <w:uiPriority w:val="0"/>
    <w:rPr>
      <w:rFonts w:ascii="方正正黑简体" w:hAnsi="方正正黑简体" w:eastAsia="方正正黑简体"/>
      <w:b/>
      <w:bCs/>
      <w:color w:val="31849B"/>
      <w:sz w:val="32"/>
      <w:szCs w:val="28"/>
    </w:rPr>
  </w:style>
  <w:style w:type="paragraph" w:customStyle="1" w:styleId="101">
    <w:name w:val="二级标题"/>
    <w:basedOn w:val="5"/>
    <w:link w:val="100"/>
    <w:qFormat/>
    <w:uiPriority w:val="0"/>
    <w:pPr>
      <w:tabs>
        <w:tab w:val="left" w:pos="840"/>
        <w:tab w:val="left" w:pos="1200"/>
      </w:tabs>
      <w:spacing w:line="413" w:lineRule="auto"/>
      <w:ind w:left="1200" w:right="-907" w:rightChars="-432" w:hanging="420"/>
    </w:pPr>
    <w:rPr>
      <w:rFonts w:ascii="方正正黑简体" w:hAnsi="方正正黑简体" w:eastAsia="方正正黑简体"/>
      <w:color w:val="31849B"/>
      <w:kern w:val="0"/>
      <w:szCs w:val="28"/>
    </w:rPr>
  </w:style>
  <w:style w:type="character" w:customStyle="1" w:styleId="102">
    <w:name w:val="方案正文 Char Char"/>
    <w:link w:val="103"/>
    <w:qFormat/>
    <w:uiPriority w:val="0"/>
    <w:rPr>
      <w:rFonts w:ascii="方正正黑简体" w:hAnsi="??" w:eastAsia="方正正黑简体"/>
      <w:szCs w:val="24"/>
    </w:rPr>
  </w:style>
  <w:style w:type="paragraph" w:customStyle="1" w:styleId="103">
    <w:name w:val="方案正文"/>
    <w:basedOn w:val="1"/>
    <w:link w:val="102"/>
    <w:qFormat/>
    <w:uiPriority w:val="0"/>
    <w:pPr>
      <w:spacing w:before="120" w:after="120" w:line="360" w:lineRule="auto"/>
      <w:ind w:firstLine="403" w:firstLineChars="192"/>
    </w:pPr>
    <w:rPr>
      <w:rFonts w:ascii="方正正黑简体" w:hAnsi="??" w:eastAsia="方正正黑简体"/>
      <w:kern w:val="0"/>
      <w:sz w:val="20"/>
    </w:rPr>
  </w:style>
  <w:style w:type="character" w:customStyle="1" w:styleId="104">
    <w:name w:val="文档正文 Char"/>
    <w:link w:val="105"/>
    <w:qFormat/>
    <w:uiPriority w:val="0"/>
    <w:rPr>
      <w:rFonts w:ascii="宋体" w:hAnsi="宋体"/>
      <w:sz w:val="24"/>
      <w:szCs w:val="24"/>
    </w:rPr>
  </w:style>
  <w:style w:type="paragraph" w:customStyle="1" w:styleId="105">
    <w:name w:val="文档正文"/>
    <w:basedOn w:val="1"/>
    <w:link w:val="104"/>
    <w:qFormat/>
    <w:uiPriority w:val="0"/>
    <w:pPr>
      <w:spacing w:line="360" w:lineRule="auto"/>
      <w:ind w:firstLine="480" w:firstLineChars="200"/>
    </w:pPr>
    <w:rPr>
      <w:rFonts w:ascii="宋体" w:hAnsi="宋体"/>
      <w:kern w:val="0"/>
      <w:sz w:val="24"/>
    </w:rPr>
  </w:style>
  <w:style w:type="character" w:customStyle="1" w:styleId="106">
    <w:name w:val="标题 3 Char1"/>
    <w:qFormat/>
    <w:uiPriority w:val="0"/>
    <w:rPr>
      <w:rFonts w:ascii="Arial" w:hAnsi="Arial"/>
      <w:b/>
      <w:bCs/>
      <w:kern w:val="2"/>
      <w:sz w:val="21"/>
      <w:szCs w:val="21"/>
    </w:rPr>
  </w:style>
  <w:style w:type="character" w:customStyle="1" w:styleId="107">
    <w:name w:val="本文第一層縮排 2 字元"/>
    <w:link w:val="2"/>
    <w:qFormat/>
    <w:uiPriority w:val="0"/>
    <w:rPr>
      <w:rFonts w:ascii="Times New Roman" w:hAnsi="Times New Roman" w:eastAsia="宋体" w:cs="Times New Roman"/>
      <w:szCs w:val="24"/>
    </w:rPr>
  </w:style>
  <w:style w:type="paragraph" w:customStyle="1" w:styleId="108">
    <w:name w:val="样式 首行缩进:  0.85 厘米"/>
    <w:basedOn w:val="1"/>
    <w:semiHidden/>
    <w:qFormat/>
    <w:uiPriority w:val="0"/>
    <w:pPr>
      <w:spacing w:line="360" w:lineRule="auto"/>
      <w:ind w:firstLine="482"/>
    </w:pPr>
    <w:rPr>
      <w:rFonts w:cs="宋体"/>
      <w:sz w:val="24"/>
      <w:szCs w:val="20"/>
    </w:rPr>
  </w:style>
  <w:style w:type="paragraph" w:customStyle="1" w:styleId="109">
    <w:name w:val="正文缩进1"/>
    <w:basedOn w:val="1"/>
    <w:semiHidden/>
    <w:qFormat/>
    <w:uiPriority w:val="0"/>
    <w:pPr>
      <w:ind w:firstLine="480"/>
    </w:pPr>
    <w:rPr>
      <w:rFonts w:cs="宋体"/>
      <w:sz w:val="24"/>
      <w:szCs w:val="20"/>
    </w:rPr>
  </w:style>
  <w:style w:type="paragraph" w:customStyle="1" w:styleId="110">
    <w:name w:val="样式5"/>
    <w:basedOn w:val="7"/>
    <w:qFormat/>
    <w:uiPriority w:val="0"/>
    <w:rPr>
      <w:rFonts w:ascii="宋体" w:hAnsi="宋体" w:eastAsia="宋体"/>
      <w:b w:val="0"/>
      <w:sz w:val="24"/>
    </w:rPr>
  </w:style>
  <w:style w:type="paragraph" w:customStyle="1" w:styleId="11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样式 标题 2 + 非加粗"/>
    <w:basedOn w:val="5"/>
    <w:qFormat/>
    <w:uiPriority w:val="0"/>
    <w:pPr>
      <w:keepLines w:val="0"/>
      <w:tabs>
        <w:tab w:val="left" w:pos="840"/>
      </w:tabs>
      <w:spacing w:before="0" w:after="0" w:line="360" w:lineRule="auto"/>
      <w:ind w:left="840" w:hanging="420"/>
    </w:pPr>
    <w:rPr>
      <w:rFonts w:ascii="宋体" w:hAnsi="宋体" w:eastAsia="宋体"/>
      <w:szCs w:val="24"/>
    </w:rPr>
  </w:style>
  <w:style w:type="paragraph" w:customStyle="1" w:styleId="113">
    <w:name w:val="内容文本"/>
    <w:basedOn w:val="81"/>
    <w:link w:val="114"/>
    <w:qFormat/>
    <w:uiPriority w:val="0"/>
    <w:pPr>
      <w:spacing w:line="360" w:lineRule="auto"/>
      <w:ind w:firstLine="200"/>
      <w:contextualSpacing/>
      <w:jc w:val="left"/>
    </w:pPr>
    <w:rPr>
      <w:rFonts w:ascii="宋体" w:hAnsi="宋体"/>
      <w:sz w:val="24"/>
      <w:lang w:eastAsia="en-US" w:bidi="en-US"/>
    </w:rPr>
  </w:style>
  <w:style w:type="character" w:customStyle="1" w:styleId="114">
    <w:name w:val="内容文本 Char"/>
    <w:link w:val="113"/>
    <w:qFormat/>
    <w:uiPriority w:val="0"/>
    <w:rPr>
      <w:rFonts w:ascii="宋体" w:hAnsi="宋体" w:eastAsia="宋体" w:cs="Times New Roman"/>
      <w:kern w:val="0"/>
      <w:sz w:val="24"/>
      <w:szCs w:val="24"/>
      <w:lang w:eastAsia="en-US" w:bidi="en-US"/>
    </w:rPr>
  </w:style>
  <w:style w:type="character" w:customStyle="1" w:styleId="115">
    <w:name w:val="列出段落 Char"/>
    <w:link w:val="81"/>
    <w:qFormat/>
    <w:locked/>
    <w:uiPriority w:val="34"/>
    <w:rPr>
      <w:rFonts w:ascii="Times New Roman" w:hAnsi="Times New Roman" w:eastAsia="宋体" w:cs="Times New Roman"/>
      <w:szCs w:val="24"/>
    </w:rPr>
  </w:style>
  <w:style w:type="paragraph" w:customStyle="1" w:styleId="116">
    <w:name w:val="GP正文(无首行缩进)"/>
    <w:basedOn w:val="1"/>
    <w:qFormat/>
    <w:uiPriority w:val="0"/>
    <w:pPr>
      <w:spacing w:line="360" w:lineRule="auto"/>
      <w:ind w:firstLine="480" w:firstLineChars="200"/>
      <w:jc w:val="left"/>
    </w:pPr>
    <w:rPr>
      <w:rFonts w:hAnsi="宋体"/>
      <w:sz w:val="24"/>
    </w:rPr>
  </w:style>
  <w:style w:type="character" w:customStyle="1" w:styleId="117">
    <w:name w:val="标准正文 Char Char"/>
    <w:link w:val="118"/>
    <w:qFormat/>
    <w:uiPriority w:val="0"/>
    <w:rPr>
      <w:sz w:val="24"/>
    </w:rPr>
  </w:style>
  <w:style w:type="paragraph" w:customStyle="1" w:styleId="118">
    <w:name w:val="标准正文"/>
    <w:basedOn w:val="3"/>
    <w:link w:val="117"/>
    <w:qFormat/>
    <w:uiPriority w:val="0"/>
    <w:pPr>
      <w:spacing w:before="60" w:after="60" w:line="360" w:lineRule="auto"/>
      <w:ind w:left="0" w:leftChars="0" w:firstLine="482" w:firstLineChars="200"/>
    </w:pPr>
    <w:rPr>
      <w:rFonts w:ascii="Calibri" w:hAnsi="Calibri"/>
      <w:kern w:val="0"/>
      <w:sz w:val="24"/>
      <w:szCs w:val="20"/>
    </w:rPr>
  </w:style>
  <w:style w:type="paragraph" w:customStyle="1" w:styleId="119">
    <w:name w:val="*正文"/>
    <w:basedOn w:val="1"/>
    <w:link w:val="120"/>
    <w:qFormat/>
    <w:uiPriority w:val="0"/>
    <w:pPr>
      <w:spacing w:line="360" w:lineRule="auto"/>
      <w:ind w:firstLine="200" w:firstLineChars="200"/>
    </w:pPr>
    <w:rPr>
      <w:rFonts w:ascii="宋体" w:hAnsi="宋体"/>
      <w:kern w:val="0"/>
      <w:sz w:val="22"/>
    </w:rPr>
  </w:style>
  <w:style w:type="character" w:customStyle="1" w:styleId="120">
    <w:name w:val="*正文 Char"/>
    <w:link w:val="119"/>
    <w:qFormat/>
    <w:uiPriority w:val="0"/>
    <w:rPr>
      <w:rFonts w:ascii="宋体" w:hAnsi="宋体" w:eastAsia="宋体" w:cs="Times New Roman"/>
      <w:sz w:val="22"/>
      <w:szCs w:val="24"/>
    </w:rPr>
  </w:style>
  <w:style w:type="paragraph" w:customStyle="1" w:styleId="121">
    <w:name w:val="标题1"/>
    <w:basedOn w:val="1"/>
    <w:link w:val="128"/>
    <w:qFormat/>
    <w:uiPriority w:val="0"/>
    <w:pPr>
      <w:numPr>
        <w:ilvl w:val="0"/>
        <w:numId w:val="3"/>
      </w:numPr>
      <w:spacing w:line="360" w:lineRule="auto"/>
      <w:jc w:val="center"/>
      <w:outlineLvl w:val="0"/>
    </w:pPr>
    <w:rPr>
      <w:b/>
      <w:bCs/>
      <w:kern w:val="44"/>
      <w:sz w:val="44"/>
      <w:szCs w:val="44"/>
    </w:rPr>
  </w:style>
  <w:style w:type="paragraph" w:customStyle="1" w:styleId="122">
    <w:name w:val="标题2"/>
    <w:link w:val="129"/>
    <w:qFormat/>
    <w:uiPriority w:val="0"/>
    <w:pPr>
      <w:numPr>
        <w:ilvl w:val="1"/>
        <w:numId w:val="3"/>
      </w:numPr>
      <w:outlineLvl w:val="1"/>
    </w:pPr>
    <w:rPr>
      <w:rFonts w:ascii="Times New Roman" w:hAnsi="Times New Roman" w:eastAsia="宋体" w:cs="Times New Roman"/>
      <w:b/>
      <w:bCs/>
      <w:kern w:val="44"/>
      <w:sz w:val="30"/>
      <w:szCs w:val="44"/>
      <w:lang w:val="en-US" w:eastAsia="zh-CN" w:bidi="ar-SA"/>
    </w:rPr>
  </w:style>
  <w:style w:type="paragraph" w:customStyle="1" w:styleId="123">
    <w:name w:val="标题3"/>
    <w:link w:val="124"/>
    <w:qFormat/>
    <w:uiPriority w:val="0"/>
    <w:pPr>
      <w:numPr>
        <w:ilvl w:val="2"/>
        <w:numId w:val="3"/>
      </w:numPr>
      <w:spacing w:line="360" w:lineRule="auto"/>
      <w:outlineLvl w:val="2"/>
    </w:pPr>
    <w:rPr>
      <w:rFonts w:ascii="Times New Roman" w:hAnsi="Times New Roman" w:eastAsia="宋体" w:cs="Times New Roman"/>
      <w:b/>
      <w:kern w:val="44"/>
      <w:sz w:val="28"/>
      <w:szCs w:val="44"/>
      <w:lang w:val="en-US" w:eastAsia="zh-CN" w:bidi="ar-SA"/>
    </w:rPr>
  </w:style>
  <w:style w:type="character" w:customStyle="1" w:styleId="124">
    <w:name w:val="标题3 Char"/>
    <w:link w:val="123"/>
    <w:qFormat/>
    <w:uiPriority w:val="0"/>
    <w:rPr>
      <w:rFonts w:ascii="Times New Roman" w:hAnsi="Times New Roman"/>
      <w:b/>
      <w:kern w:val="44"/>
      <w:sz w:val="28"/>
      <w:szCs w:val="44"/>
      <w:lang w:bidi="ar-SA"/>
    </w:rPr>
  </w:style>
  <w:style w:type="paragraph" w:customStyle="1" w:styleId="125">
    <w:name w:val="样式 标题 4H4Ref Heading 1rh1Heading sqlsect 1.2.3.4h4First S..."/>
    <w:basedOn w:val="7"/>
    <w:qFormat/>
    <w:uiPriority w:val="0"/>
    <w:pPr>
      <w:tabs>
        <w:tab w:val="left" w:pos="1680"/>
      </w:tabs>
      <w:spacing w:before="0" w:after="0" w:line="360" w:lineRule="auto"/>
      <w:ind w:left="1680" w:hanging="420"/>
      <w:jc w:val="left"/>
    </w:pPr>
    <w:rPr>
      <w:rFonts w:ascii="Tahoma" w:hAnsi="Tahoma" w:eastAsia="宋体" w:cs="宋体"/>
      <w:bCs w:val="0"/>
      <w:sz w:val="24"/>
      <w:szCs w:val="20"/>
    </w:rPr>
  </w:style>
  <w:style w:type="paragraph" w:customStyle="1" w:styleId="126">
    <w:name w:val="图例"/>
    <w:basedOn w:val="1"/>
    <w:link w:val="127"/>
    <w:qFormat/>
    <w:uiPriority w:val="0"/>
    <w:pPr>
      <w:numPr>
        <w:ilvl w:val="0"/>
        <w:numId w:val="4"/>
      </w:numPr>
      <w:jc w:val="center"/>
    </w:pPr>
    <w:rPr>
      <w:rFonts w:eastAsia="华文细黑"/>
      <w:kern w:val="0"/>
      <w:sz w:val="20"/>
    </w:rPr>
  </w:style>
  <w:style w:type="character" w:customStyle="1" w:styleId="127">
    <w:name w:val="图例 Char"/>
    <w:link w:val="126"/>
    <w:qFormat/>
    <w:uiPriority w:val="0"/>
    <w:rPr>
      <w:rFonts w:ascii="Times New Roman" w:hAnsi="Times New Roman" w:eastAsia="华文细黑" w:cs="Times New Roman"/>
      <w:szCs w:val="24"/>
    </w:rPr>
  </w:style>
  <w:style w:type="character" w:customStyle="1" w:styleId="128">
    <w:name w:val="标题1 Char"/>
    <w:link w:val="121"/>
    <w:qFormat/>
    <w:uiPriority w:val="0"/>
    <w:rPr>
      <w:rFonts w:ascii="Times New Roman" w:hAnsi="Times New Roman" w:eastAsia="宋体" w:cs="Times New Roman"/>
      <w:b/>
      <w:bCs/>
      <w:kern w:val="44"/>
      <w:sz w:val="44"/>
      <w:szCs w:val="44"/>
    </w:rPr>
  </w:style>
  <w:style w:type="character" w:customStyle="1" w:styleId="129">
    <w:name w:val="标题2 Char"/>
    <w:link w:val="122"/>
    <w:qFormat/>
    <w:uiPriority w:val="0"/>
    <w:rPr>
      <w:rFonts w:ascii="Times New Roman" w:hAnsi="Times New Roman"/>
      <w:b/>
      <w:bCs/>
      <w:kern w:val="44"/>
      <w:sz w:val="30"/>
      <w:szCs w:val="44"/>
      <w:lang w:bidi="ar-SA"/>
    </w:rPr>
  </w:style>
  <w:style w:type="paragraph" w:customStyle="1" w:styleId="130">
    <w:name w:val="样式 首行缩进:  0 字符"/>
    <w:basedOn w:val="1"/>
    <w:qFormat/>
    <w:uiPriority w:val="0"/>
    <w:pPr>
      <w:spacing w:line="360" w:lineRule="auto"/>
      <w:ind w:firstLine="200" w:firstLineChars="200"/>
    </w:pPr>
    <w:rPr>
      <w:rFonts w:ascii="Verdana" w:hAnsi="Verdana" w:cs="宋体"/>
      <w:sz w:val="24"/>
      <w:szCs w:val="20"/>
    </w:rPr>
  </w:style>
  <w:style w:type="paragraph" w:customStyle="1" w:styleId="131">
    <w:name w:val="样式3"/>
    <w:basedOn w:val="1"/>
    <w:link w:val="132"/>
    <w:qFormat/>
    <w:uiPriority w:val="0"/>
    <w:pPr>
      <w:jc w:val="center"/>
    </w:pPr>
    <w:rPr>
      <w:rFonts w:eastAsia="华文细黑"/>
      <w:kern w:val="0"/>
      <w:sz w:val="20"/>
    </w:rPr>
  </w:style>
  <w:style w:type="character" w:customStyle="1" w:styleId="132">
    <w:name w:val="样式3 Char"/>
    <w:link w:val="131"/>
    <w:qFormat/>
    <w:uiPriority w:val="0"/>
    <w:rPr>
      <w:rFonts w:ascii="Times New Roman" w:hAnsi="Times New Roman" w:eastAsia="华文细黑" w:cs="Times New Roman"/>
      <w:szCs w:val="24"/>
    </w:rPr>
  </w:style>
  <w:style w:type="paragraph" w:customStyle="1" w:styleId="133">
    <w:name w:val="Z3"/>
    <w:basedOn w:val="1"/>
    <w:qFormat/>
    <w:uiPriority w:val="0"/>
    <w:pPr>
      <w:numPr>
        <w:ilvl w:val="2"/>
        <w:numId w:val="2"/>
      </w:numPr>
      <w:spacing w:before="360" w:after="180"/>
      <w:ind w:firstLine="0"/>
      <w:outlineLvl w:val="2"/>
    </w:pPr>
    <w:rPr>
      <w:rFonts w:ascii="Tahoma" w:hAnsi="Tahoma" w:eastAsia="幼圆"/>
      <w:caps/>
      <w:sz w:val="28"/>
      <w:szCs w:val="20"/>
    </w:rPr>
  </w:style>
  <w:style w:type="paragraph" w:customStyle="1" w:styleId="134">
    <w:name w:val="样式 样式 首行缩进:  2 字符 + 首行缩进:  2 字符1"/>
    <w:basedOn w:val="1"/>
    <w:qFormat/>
    <w:uiPriority w:val="0"/>
    <w:pPr>
      <w:numPr>
        <w:ilvl w:val="1"/>
        <w:numId w:val="2"/>
      </w:numPr>
      <w:spacing w:beforeLines="50" w:afterLines="50" w:line="520" w:lineRule="exact"/>
      <w:ind w:left="0" w:firstLine="560" w:firstLineChars="200"/>
    </w:pPr>
    <w:rPr>
      <w:rFonts w:ascii="黑体" w:eastAsia="仿宋_GB2312" w:cs="宋体"/>
      <w:sz w:val="28"/>
      <w:szCs w:val="20"/>
    </w:rPr>
  </w:style>
  <w:style w:type="paragraph" w:customStyle="1" w:styleId="135">
    <w:name w:val="GP正文(首行缩进)"/>
    <w:basedOn w:val="1"/>
    <w:qFormat/>
    <w:uiPriority w:val="0"/>
    <w:pPr>
      <w:spacing w:line="360" w:lineRule="auto"/>
      <w:ind w:firstLine="200" w:firstLineChars="200"/>
      <w:jc w:val="left"/>
    </w:pPr>
    <w:rPr>
      <w:sz w:val="24"/>
      <w:szCs w:val="21"/>
    </w:rPr>
  </w:style>
  <w:style w:type="paragraph" w:customStyle="1" w:styleId="136">
    <w:name w:val="标题一a"/>
    <w:basedOn w:val="1"/>
    <w:qFormat/>
    <w:uiPriority w:val="0"/>
    <w:pPr>
      <w:numPr>
        <w:ilvl w:val="0"/>
        <w:numId w:val="5"/>
      </w:numPr>
      <w:spacing w:line="360" w:lineRule="auto"/>
      <w:ind w:firstLine="200" w:firstLineChars="200"/>
    </w:pPr>
    <w:rPr>
      <w:sz w:val="24"/>
      <w:szCs w:val="22"/>
    </w:rPr>
  </w:style>
  <w:style w:type="paragraph" w:customStyle="1" w:styleId="137">
    <w:name w:val="编号，小四"/>
    <w:basedOn w:val="1"/>
    <w:link w:val="141"/>
    <w:qFormat/>
    <w:uiPriority w:val="0"/>
    <w:pPr>
      <w:numPr>
        <w:ilvl w:val="0"/>
        <w:numId w:val="6"/>
      </w:numPr>
      <w:spacing w:line="360" w:lineRule="auto"/>
    </w:pPr>
    <w:rPr>
      <w:rFonts w:ascii="Verdana" w:hAnsi="Verdana"/>
      <w:kern w:val="0"/>
      <w:sz w:val="24"/>
      <w:szCs w:val="20"/>
    </w:rPr>
  </w:style>
  <w:style w:type="paragraph" w:customStyle="1" w:styleId="138">
    <w:name w:val="编号，四号"/>
    <w:basedOn w:val="137"/>
    <w:qFormat/>
    <w:uiPriority w:val="0"/>
    <w:pPr>
      <w:numPr>
        <w:ilvl w:val="0"/>
        <w:numId w:val="7"/>
      </w:numPr>
      <w:ind w:left="0" w:firstLine="0"/>
    </w:pPr>
    <w:rPr>
      <w:sz w:val="28"/>
    </w:rPr>
  </w:style>
  <w:style w:type="character" w:customStyle="1" w:styleId="139">
    <w:name w:val="標號 字元"/>
    <w:link w:val="15"/>
    <w:qFormat/>
    <w:uiPriority w:val="0"/>
    <w:rPr>
      <w:rFonts w:ascii="Arial Unicode MS" w:hAnsi="Arial Unicode MS" w:eastAsia="宋体" w:cs="Times New Roman"/>
      <w:szCs w:val="20"/>
    </w:rPr>
  </w:style>
  <w:style w:type="table" w:customStyle="1" w:styleId="140">
    <w:name w:val="网格型1"/>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编号，小四 Char"/>
    <w:link w:val="137"/>
    <w:qFormat/>
    <w:uiPriority w:val="0"/>
    <w:rPr>
      <w:rFonts w:ascii="Verdana" w:hAnsi="Verdana" w:eastAsia="宋体" w:cs="Times New Roman"/>
      <w:sz w:val="24"/>
      <w:szCs w:val="20"/>
    </w:rPr>
  </w:style>
  <w:style w:type="paragraph" w:customStyle="1" w:styleId="142">
    <w:name w:val="表格表头"/>
    <w:basedOn w:val="1"/>
    <w:qFormat/>
    <w:uiPriority w:val="0"/>
    <w:pPr>
      <w:spacing w:line="360" w:lineRule="auto"/>
      <w:jc w:val="center"/>
      <w:outlineLvl w:val="0"/>
    </w:pPr>
    <w:rPr>
      <w:rFonts w:ascii="宋体" w:hAnsi="宋体" w:eastAsia="黑体" w:cs="宋体"/>
      <w:sz w:val="24"/>
      <w:szCs w:val="21"/>
    </w:rPr>
  </w:style>
  <w:style w:type="paragraph" w:customStyle="1" w:styleId="143">
    <w:name w:val="表格正文"/>
    <w:basedOn w:val="1"/>
    <w:qFormat/>
    <w:uiPriority w:val="0"/>
    <w:pPr>
      <w:spacing w:line="360" w:lineRule="auto"/>
      <w:jc w:val="left"/>
    </w:pPr>
    <w:rPr>
      <w:rFonts w:ascii="Verdana" w:hAnsi="Verdana" w:cs="宋体"/>
      <w:szCs w:val="28"/>
    </w:rPr>
  </w:style>
  <w:style w:type="paragraph" w:customStyle="1" w:styleId="144">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character" w:customStyle="1" w:styleId="145">
    <w:name w:val="本文縮排 3 字元"/>
    <w:link w:val="33"/>
    <w:qFormat/>
    <w:uiPriority w:val="0"/>
    <w:rPr>
      <w:rFonts w:ascii="Times New Roman" w:hAnsi="Times New Roman" w:eastAsia="宋体" w:cs="Times New Roman"/>
      <w:sz w:val="16"/>
      <w:szCs w:val="16"/>
    </w:rPr>
  </w:style>
  <w:style w:type="character" w:customStyle="1" w:styleId="146">
    <w:name w:val="本文 2 字元"/>
    <w:link w:val="36"/>
    <w:qFormat/>
    <w:uiPriority w:val="0"/>
    <w:rPr>
      <w:rFonts w:ascii="Times New Roman" w:hAnsi="Times New Roman" w:eastAsia="宋体" w:cs="Times New Roman"/>
      <w:szCs w:val="24"/>
    </w:rPr>
  </w:style>
  <w:style w:type="character" w:customStyle="1" w:styleId="147">
    <w:name w:val="已访问的超链接1"/>
    <w:unhideWhenUsed/>
    <w:qFormat/>
    <w:uiPriority w:val="0"/>
    <w:rPr>
      <w:color w:val="800080"/>
      <w:u w:val="single"/>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xl6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2">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3">
    <w:name w:val="xl66"/>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15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5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5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5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6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6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24"/>
    </w:rPr>
  </w:style>
  <w:style w:type="paragraph" w:customStyle="1" w:styleId="17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7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4"/>
    </w:rPr>
  </w:style>
  <w:style w:type="paragraph" w:customStyle="1" w:styleId="17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7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7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18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8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24"/>
    </w:rPr>
  </w:style>
  <w:style w:type="paragraph" w:customStyle="1" w:styleId="18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24"/>
    </w:rPr>
  </w:style>
  <w:style w:type="paragraph" w:customStyle="1" w:styleId="18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24"/>
    </w:rPr>
  </w:style>
  <w:style w:type="paragraph" w:customStyle="1" w:styleId="18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8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4"/>
    </w:rPr>
  </w:style>
  <w:style w:type="paragraph" w:customStyle="1" w:styleId="18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88">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89">
    <w:name w:val="xl10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90">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91">
    <w:name w:val="xl10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92">
    <w:name w:val="xl105"/>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93">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94">
    <w:name w:val="表格样式居左"/>
    <w:link w:val="195"/>
    <w:qFormat/>
    <w:uiPriority w:val="0"/>
    <w:pPr>
      <w:adjustRightInd w:val="0"/>
      <w:snapToGrid w:val="0"/>
      <w:spacing w:line="360" w:lineRule="exact"/>
    </w:pPr>
    <w:rPr>
      <w:rFonts w:ascii="Times New Roman" w:hAnsi="Times New Roman" w:eastAsia="仿宋_GB2312" w:cs="Times New Roman"/>
      <w:bCs/>
      <w:color w:val="000000"/>
      <w:szCs w:val="44"/>
      <w:lang w:val="en-US" w:eastAsia="zh-CN" w:bidi="ar-SA"/>
    </w:rPr>
  </w:style>
  <w:style w:type="character" w:customStyle="1" w:styleId="195">
    <w:name w:val="表格样式居左 Char"/>
    <w:link w:val="194"/>
    <w:qFormat/>
    <w:uiPriority w:val="0"/>
    <w:rPr>
      <w:rFonts w:ascii="Times New Roman" w:hAnsi="Times New Roman" w:eastAsia="仿宋_GB2312"/>
      <w:bCs/>
      <w:color w:val="000000"/>
      <w:szCs w:val="44"/>
      <w:lang w:bidi="ar-SA"/>
    </w:rPr>
  </w:style>
  <w:style w:type="paragraph" w:customStyle="1" w:styleId="196">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97">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character" w:customStyle="1" w:styleId="198">
    <w:name w:val="日期 字元"/>
    <w:link w:val="25"/>
    <w:qFormat/>
    <w:uiPriority w:val="0"/>
    <w:rPr>
      <w:rFonts w:ascii="Times New Roman" w:hAnsi="Times New Roman" w:eastAsia="宋体" w:cs="Times New Roman"/>
      <w:szCs w:val="24"/>
    </w:rPr>
  </w:style>
  <w:style w:type="character" w:customStyle="1" w:styleId="199">
    <w:name w:val="本文 3 字元"/>
    <w:link w:val="19"/>
    <w:qFormat/>
    <w:uiPriority w:val="0"/>
    <w:rPr>
      <w:rFonts w:ascii="Times New Roman" w:hAnsi="Times New Roman" w:eastAsia="宋体" w:cs="Times New Roman"/>
      <w:sz w:val="16"/>
      <w:szCs w:val="16"/>
    </w:rPr>
  </w:style>
  <w:style w:type="paragraph" w:customStyle="1" w:styleId="200">
    <w:name w:val="样式41"/>
    <w:basedOn w:val="1"/>
    <w:qFormat/>
    <w:uiPriority w:val="0"/>
    <w:pPr>
      <w:tabs>
        <w:tab w:val="left" w:pos="945"/>
        <w:tab w:val="left" w:pos="1080"/>
      </w:tabs>
      <w:spacing w:line="360" w:lineRule="auto"/>
      <w:ind w:left="1080" w:hanging="720"/>
    </w:pPr>
    <w:rPr>
      <w:b/>
      <w:color w:val="000000"/>
      <w:sz w:val="24"/>
      <w:szCs w:val="20"/>
    </w:rPr>
  </w:style>
  <w:style w:type="paragraph" w:customStyle="1" w:styleId="20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02">
    <w:name w:val="自定义正文"/>
    <w:basedOn w:val="1"/>
    <w:qFormat/>
    <w:uiPriority w:val="0"/>
    <w:pPr>
      <w:spacing w:afterLines="50"/>
      <w:ind w:left="600" w:leftChars="600"/>
    </w:pPr>
  </w:style>
  <w:style w:type="paragraph" w:customStyle="1" w:styleId="203">
    <w:name w:val="Char Char Char Char Char"/>
    <w:basedOn w:val="1"/>
    <w:qFormat/>
    <w:uiPriority w:val="0"/>
    <w:rPr>
      <w:rFonts w:ascii="Tahoma" w:hAnsi="Tahoma"/>
      <w:sz w:val="24"/>
      <w:szCs w:val="20"/>
    </w:rPr>
  </w:style>
  <w:style w:type="paragraph" w:customStyle="1" w:styleId="20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05">
    <w:name w:val="Char Char"/>
    <w:basedOn w:val="1"/>
    <w:qFormat/>
    <w:uiPriority w:val="0"/>
    <w:rPr>
      <w:rFonts w:ascii="Tahoma" w:hAnsi="Tahoma"/>
      <w:sz w:val="24"/>
      <w:szCs w:val="20"/>
    </w:rPr>
  </w:style>
  <w:style w:type="paragraph" w:customStyle="1" w:styleId="20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RFI text from 3rd Level"/>
    <w:basedOn w:val="1"/>
    <w:qFormat/>
    <w:uiPriority w:val="0"/>
    <w:pPr>
      <w:widowControl/>
      <w:numPr>
        <w:ilvl w:val="0"/>
        <w:numId w:val="8"/>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209">
    <w:name w:val="正文文字缩进项目"/>
    <w:basedOn w:val="3"/>
    <w:qFormat/>
    <w:uiPriority w:val="0"/>
    <w:pPr>
      <w:numPr>
        <w:ilvl w:val="1"/>
        <w:numId w:val="8"/>
      </w:numPr>
      <w:tabs>
        <w:tab w:val="left" w:pos="840"/>
        <w:tab w:val="clear" w:pos="1260"/>
      </w:tabs>
      <w:ind w:left="840" w:leftChars="0"/>
    </w:pPr>
    <w:rPr>
      <w:rFonts w:ascii="Tahoma" w:hAnsi="Tahoma"/>
      <w:sz w:val="22"/>
      <w:szCs w:val="20"/>
    </w:rPr>
  </w:style>
  <w:style w:type="character" w:customStyle="1" w:styleId="210">
    <w:name w:val="H4 Char2"/>
    <w:qFormat/>
    <w:uiPriority w:val="0"/>
    <w:rPr>
      <w:rFonts w:ascii="Arial" w:hAnsi="Arial" w:eastAsia="黑体"/>
      <w:b/>
      <w:bCs/>
      <w:kern w:val="2"/>
      <w:sz w:val="28"/>
      <w:szCs w:val="28"/>
      <w:lang w:val="en-US" w:eastAsia="zh-CN" w:bidi="ar-SA"/>
    </w:rPr>
  </w:style>
  <w:style w:type="character" w:customStyle="1" w:styleId="211">
    <w:name w:val="正文文字首行缩进 Char"/>
    <w:qFormat/>
    <w:uiPriority w:val="0"/>
    <w:rPr>
      <w:kern w:val="2"/>
      <w:sz w:val="21"/>
      <w:szCs w:val="24"/>
    </w:rPr>
  </w:style>
  <w:style w:type="character" w:customStyle="1" w:styleId="212">
    <w:name w:val="正文文本 Char1"/>
    <w:qFormat/>
    <w:uiPriority w:val="0"/>
    <w:rPr>
      <w:rFonts w:eastAsia="宋体"/>
      <w:b/>
      <w:bCs/>
      <w:kern w:val="2"/>
      <w:sz w:val="24"/>
      <w:szCs w:val="24"/>
      <w:lang w:val="en-US" w:eastAsia="zh-CN" w:bidi="ar-SA"/>
    </w:rPr>
  </w:style>
  <w:style w:type="character" w:customStyle="1" w:styleId="213">
    <w:name w:val="标题 3 Char Char"/>
    <w:qFormat/>
    <w:uiPriority w:val="0"/>
    <w:rPr>
      <w:rFonts w:eastAsia="宋体"/>
      <w:b/>
      <w:bCs/>
      <w:kern w:val="2"/>
      <w:sz w:val="32"/>
      <w:szCs w:val="32"/>
      <w:lang w:val="en-US" w:eastAsia="zh-CN" w:bidi="ar-SA"/>
    </w:rPr>
  </w:style>
  <w:style w:type="paragraph" w:customStyle="1" w:styleId="214">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216">
    <w:name w:val="--规划正文"/>
    <w:basedOn w:val="1"/>
    <w:qFormat/>
    <w:uiPriority w:val="0"/>
    <w:pPr>
      <w:spacing w:line="360" w:lineRule="auto"/>
      <w:ind w:firstLine="200" w:firstLineChars="200"/>
    </w:pPr>
    <w:rPr>
      <w:szCs w:val="20"/>
    </w:rPr>
  </w:style>
  <w:style w:type="paragraph" w:customStyle="1" w:styleId="217">
    <w:name w:val="设计依据"/>
    <w:basedOn w:val="20"/>
    <w:qFormat/>
    <w:uiPriority w:val="0"/>
    <w:pPr>
      <w:numPr>
        <w:ilvl w:val="1"/>
        <w:numId w:val="9"/>
      </w:numPr>
      <w:tabs>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218">
    <w:name w:val="方案要点"/>
    <w:basedOn w:val="1"/>
    <w:qFormat/>
    <w:uiPriority w:val="0"/>
    <w:pPr>
      <w:numPr>
        <w:ilvl w:val="0"/>
        <w:numId w:val="9"/>
      </w:numPr>
      <w:spacing w:line="360" w:lineRule="auto"/>
    </w:pPr>
    <w:rPr>
      <w:rFonts w:ascii="仿宋_GB2312" w:hAnsi="宋体" w:eastAsia="仿宋_GB2312"/>
      <w:color w:val="000000"/>
      <w:sz w:val="28"/>
      <w:szCs w:val="28"/>
    </w:rPr>
  </w:style>
  <w:style w:type="paragraph" w:customStyle="1" w:styleId="219">
    <w:name w:val="样式4"/>
    <w:basedOn w:val="1"/>
    <w:qFormat/>
    <w:uiPriority w:val="0"/>
    <w:pPr>
      <w:tabs>
        <w:tab w:val="left" w:pos="842"/>
      </w:tabs>
      <w:spacing w:line="360" w:lineRule="auto"/>
      <w:ind w:left="842" w:hanging="420"/>
    </w:pPr>
    <w:rPr>
      <w:sz w:val="24"/>
    </w:rPr>
  </w:style>
  <w:style w:type="paragraph" w:customStyle="1" w:styleId="220">
    <w:name w:val="文字"/>
    <w:basedOn w:val="1"/>
    <w:qFormat/>
    <w:uiPriority w:val="0"/>
    <w:pPr>
      <w:tabs>
        <w:tab w:val="left" w:pos="8520"/>
      </w:tabs>
      <w:spacing w:line="312" w:lineRule="auto"/>
      <w:ind w:right="-210" w:firstLine="556"/>
    </w:pPr>
    <w:rPr>
      <w:rFonts w:ascii="宋体"/>
      <w:sz w:val="28"/>
      <w:szCs w:val="20"/>
    </w:rPr>
  </w:style>
  <w:style w:type="paragraph" w:customStyle="1" w:styleId="221">
    <w:name w:val="--规划-表格-居左"/>
    <w:basedOn w:val="216"/>
    <w:qFormat/>
    <w:uiPriority w:val="0"/>
    <w:pPr>
      <w:spacing w:line="240" w:lineRule="auto"/>
      <w:ind w:firstLine="0" w:firstLineChars="0"/>
    </w:pPr>
    <w:rPr>
      <w:sz w:val="20"/>
    </w:rPr>
  </w:style>
  <w:style w:type="paragraph" w:customStyle="1" w:styleId="222">
    <w:name w:val="--规划-表格-居中"/>
    <w:basedOn w:val="216"/>
    <w:qFormat/>
    <w:uiPriority w:val="0"/>
    <w:pPr>
      <w:spacing w:line="240" w:lineRule="auto"/>
      <w:ind w:firstLine="0" w:firstLineChars="0"/>
      <w:jc w:val="center"/>
    </w:pPr>
    <w:rPr>
      <w:sz w:val="20"/>
    </w:rPr>
  </w:style>
  <w:style w:type="paragraph" w:customStyle="1" w:styleId="223">
    <w:name w:val="--编号内缩进"/>
    <w:basedOn w:val="1"/>
    <w:qFormat/>
    <w:uiPriority w:val="0"/>
    <w:pPr>
      <w:spacing w:line="360" w:lineRule="auto"/>
      <w:ind w:left="420" w:firstLine="200" w:firstLineChars="200"/>
    </w:pPr>
    <w:rPr>
      <w:szCs w:val="21"/>
    </w:rPr>
  </w:style>
  <w:style w:type="paragraph" w:customStyle="1" w:styleId="224">
    <w:name w:val="--规划-题注"/>
    <w:basedOn w:val="1"/>
    <w:next w:val="216"/>
    <w:qFormat/>
    <w:uiPriority w:val="0"/>
    <w:pPr>
      <w:spacing w:line="360" w:lineRule="auto"/>
      <w:jc w:val="center"/>
    </w:pPr>
    <w:rPr>
      <w:rFonts w:eastAsia="黑体"/>
    </w:rPr>
  </w:style>
  <w:style w:type="paragraph" w:customStyle="1" w:styleId="225">
    <w:name w:val="--规划-图和表"/>
    <w:next w:val="216"/>
    <w:qFormat/>
    <w:uiPriority w:val="0"/>
    <w:pPr>
      <w:jc w:val="center"/>
    </w:pPr>
    <w:rPr>
      <w:rFonts w:ascii="Times New Roman" w:hAnsi="Times New Roman" w:eastAsia="宋体" w:cs="Times New Roman"/>
      <w:kern w:val="2"/>
      <w:sz w:val="21"/>
      <w:lang w:val="en-US" w:eastAsia="zh-CN" w:bidi="ar-SA"/>
    </w:rPr>
  </w:style>
  <w:style w:type="paragraph" w:customStyle="1" w:styleId="226">
    <w:name w:val="--规划-小标题"/>
    <w:basedOn w:val="1"/>
    <w:next w:val="216"/>
    <w:qFormat/>
    <w:uiPriority w:val="0"/>
    <w:pPr>
      <w:keepNext/>
      <w:keepLines/>
      <w:spacing w:line="360" w:lineRule="auto"/>
      <w:outlineLvl w:val="4"/>
    </w:pPr>
    <w:rPr>
      <w:rFonts w:eastAsia="黑体"/>
    </w:rPr>
  </w:style>
  <w:style w:type="paragraph" w:customStyle="1" w:styleId="227">
    <w:name w:val="--规划正文 Char"/>
    <w:basedOn w:val="1"/>
    <w:qFormat/>
    <w:uiPriority w:val="0"/>
    <w:pPr>
      <w:spacing w:line="360" w:lineRule="auto"/>
      <w:ind w:firstLine="200" w:firstLineChars="200"/>
    </w:pPr>
    <w:rPr>
      <w:sz w:val="24"/>
    </w:rPr>
  </w:style>
  <w:style w:type="paragraph" w:customStyle="1" w:styleId="228">
    <w:name w:val="缺省文本"/>
    <w:basedOn w:val="1"/>
    <w:qFormat/>
    <w:uiPriority w:val="0"/>
    <w:pPr>
      <w:autoSpaceDE w:val="0"/>
      <w:autoSpaceDN w:val="0"/>
      <w:adjustRightInd w:val="0"/>
      <w:jc w:val="left"/>
    </w:pPr>
    <w:rPr>
      <w:kern w:val="0"/>
    </w:rPr>
  </w:style>
  <w:style w:type="paragraph" w:customStyle="1" w:styleId="229">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230">
    <w:name w:val="--规划正文 Char Char"/>
    <w:qFormat/>
    <w:uiPriority w:val="0"/>
    <w:rPr>
      <w:rFonts w:eastAsia="宋体"/>
      <w:kern w:val="2"/>
      <w:sz w:val="24"/>
      <w:szCs w:val="24"/>
      <w:lang w:val="en-US" w:eastAsia="zh-CN" w:bidi="ar-SA"/>
    </w:rPr>
  </w:style>
  <w:style w:type="character" w:customStyle="1" w:styleId="231">
    <w:name w:val="--规划正文 Char1"/>
    <w:qFormat/>
    <w:uiPriority w:val="0"/>
    <w:rPr>
      <w:rFonts w:eastAsia="宋体"/>
      <w:kern w:val="2"/>
      <w:sz w:val="21"/>
      <w:lang w:val="en-US" w:eastAsia="zh-CN" w:bidi="ar-SA"/>
    </w:rPr>
  </w:style>
  <w:style w:type="paragraph" w:customStyle="1" w:styleId="23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33">
    <w:name w:val="列表项目"/>
    <w:basedOn w:val="1"/>
    <w:qFormat/>
    <w:uiPriority w:val="0"/>
    <w:pPr>
      <w:tabs>
        <w:tab w:val="left" w:pos="420"/>
        <w:tab w:val="left" w:pos="1080"/>
      </w:tabs>
      <w:spacing w:line="288" w:lineRule="auto"/>
      <w:ind w:left="1080" w:hanging="360"/>
    </w:pPr>
    <w:rPr>
      <w:sz w:val="24"/>
      <w:szCs w:val="20"/>
    </w:rPr>
  </w:style>
  <w:style w:type="character" w:customStyle="1" w:styleId="234">
    <w:name w:val="content1"/>
    <w:qFormat/>
    <w:uiPriority w:val="0"/>
    <w:rPr>
      <w:rFonts w:hint="default" w:ascii="??" w:hAnsi="??"/>
      <w:sz w:val="16"/>
      <w:szCs w:val="16"/>
      <w:u w:val="none"/>
    </w:rPr>
  </w:style>
  <w:style w:type="character" w:customStyle="1" w:styleId="235">
    <w:name w:val="unnamed4"/>
    <w:basedOn w:val="45"/>
    <w:qFormat/>
    <w:uiPriority w:val="0"/>
  </w:style>
  <w:style w:type="character" w:customStyle="1" w:styleId="236">
    <w:name w:val="font2"/>
    <w:basedOn w:val="45"/>
    <w:qFormat/>
    <w:uiPriority w:val="0"/>
  </w:style>
  <w:style w:type="character" w:customStyle="1" w:styleId="237">
    <w:name w:val="font41"/>
    <w:qFormat/>
    <w:uiPriority w:val="0"/>
    <w:rPr>
      <w:color w:val="000000"/>
      <w:sz w:val="18"/>
      <w:szCs w:val="18"/>
      <w:u w:val="none"/>
    </w:rPr>
  </w:style>
  <w:style w:type="paragraph" w:customStyle="1" w:styleId="23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character" w:customStyle="1" w:styleId="239">
    <w:name w:val="本文第一層縮排 字元"/>
    <w:link w:val="42"/>
    <w:qFormat/>
    <w:uiPriority w:val="0"/>
    <w:rPr>
      <w:rFonts w:ascii="Times New Roman" w:hAnsi="Times New Roman" w:eastAsia="宋体" w:cs="Times New Roman"/>
      <w:b/>
      <w:bCs/>
      <w:szCs w:val="24"/>
    </w:rPr>
  </w:style>
  <w:style w:type="paragraph" w:customStyle="1" w:styleId="24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4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24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243">
    <w:name w:val="mode"/>
    <w:basedOn w:val="45"/>
    <w:qFormat/>
    <w:uiPriority w:val="0"/>
  </w:style>
  <w:style w:type="character" w:customStyle="1" w:styleId="244">
    <w:name w:val="unnamed3"/>
    <w:basedOn w:val="45"/>
    <w:qFormat/>
    <w:uiPriority w:val="0"/>
  </w:style>
  <w:style w:type="paragraph" w:customStyle="1" w:styleId="245">
    <w:name w:val="8"/>
    <w:basedOn w:val="1"/>
    <w:next w:val="3"/>
    <w:qFormat/>
    <w:uiPriority w:val="0"/>
    <w:pPr>
      <w:spacing w:after="120"/>
      <w:ind w:left="420" w:leftChars="200"/>
    </w:pPr>
  </w:style>
  <w:style w:type="paragraph" w:customStyle="1" w:styleId="24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4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2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49">
    <w:name w:val="姜文清定义的正文"/>
    <w:basedOn w:val="1"/>
    <w:qFormat/>
    <w:uiPriority w:val="0"/>
    <w:pPr>
      <w:spacing w:line="240" w:lineRule="atLeast"/>
      <w:ind w:firstLine="567"/>
    </w:pPr>
    <w:rPr>
      <w:szCs w:val="20"/>
    </w:rPr>
  </w:style>
  <w:style w:type="paragraph" w:customStyle="1" w:styleId="250">
    <w:name w:val="CM2"/>
    <w:basedOn w:val="144"/>
    <w:next w:val="144"/>
    <w:qFormat/>
    <w:uiPriority w:val="0"/>
    <w:pPr>
      <w:spacing w:line="200" w:lineRule="atLeast"/>
    </w:pPr>
    <w:rPr>
      <w:rFonts w:ascii="Arial" w:hAnsi="Arial" w:cs="Times New Roman"/>
      <w:color w:val="auto"/>
    </w:rPr>
  </w:style>
  <w:style w:type="paragraph" w:customStyle="1" w:styleId="251">
    <w:name w:val="Normal Paragraph"/>
    <w:basedOn w:val="1"/>
    <w:qFormat/>
    <w:uiPriority w:val="0"/>
    <w:pPr>
      <w:widowControl/>
      <w:spacing w:before="120" w:line="360" w:lineRule="auto"/>
      <w:ind w:firstLine="425"/>
    </w:pPr>
    <w:rPr>
      <w:kern w:val="0"/>
      <w:sz w:val="24"/>
    </w:rPr>
  </w:style>
  <w:style w:type="character" w:customStyle="1" w:styleId="252">
    <w:name w:val="blue"/>
    <w:basedOn w:val="45"/>
    <w:qFormat/>
    <w:uiPriority w:val="0"/>
  </w:style>
  <w:style w:type="paragraph" w:customStyle="1" w:styleId="2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254">
    <w:name w:val="font"/>
    <w:basedOn w:val="45"/>
    <w:qFormat/>
    <w:uiPriority w:val="0"/>
  </w:style>
  <w:style w:type="character" w:customStyle="1" w:styleId="255">
    <w:name w:val="font11"/>
    <w:qFormat/>
    <w:uiPriority w:val="0"/>
    <w:rPr>
      <w:rFonts w:hint="default" w:ascii="ˎ̥" w:hAnsi="ˎ̥"/>
    </w:rPr>
  </w:style>
  <w:style w:type="paragraph" w:customStyle="1" w:styleId="2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257">
    <w:name w:val="proddescription"/>
    <w:basedOn w:val="45"/>
    <w:qFormat/>
    <w:uiPriority w:val="0"/>
  </w:style>
  <w:style w:type="character" w:customStyle="1" w:styleId="258">
    <w:name w:val="prodheadlines"/>
    <w:basedOn w:val="45"/>
    <w:qFormat/>
    <w:uiPriority w:val="0"/>
  </w:style>
  <w:style w:type="character" w:customStyle="1" w:styleId="259">
    <w:name w:val="text"/>
    <w:basedOn w:val="45"/>
    <w:qFormat/>
    <w:uiPriority w:val="0"/>
  </w:style>
  <w:style w:type="paragraph" w:customStyle="1" w:styleId="2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1">
    <w:name w:val="z-窗体顶端1"/>
    <w:basedOn w:val="1"/>
    <w:next w:val="1"/>
    <w:link w:val="262"/>
    <w:qFormat/>
    <w:uiPriority w:val="0"/>
    <w:pPr>
      <w:widowControl/>
      <w:pBdr>
        <w:bottom w:val="single" w:color="auto" w:sz="6" w:space="1"/>
      </w:pBdr>
      <w:jc w:val="center"/>
    </w:pPr>
    <w:rPr>
      <w:rFonts w:ascii="Arial" w:hAnsi="Arial"/>
      <w:vanish/>
      <w:kern w:val="0"/>
      <w:sz w:val="16"/>
      <w:szCs w:val="16"/>
    </w:rPr>
  </w:style>
  <w:style w:type="character" w:customStyle="1" w:styleId="262">
    <w:name w:val="z-窗体顶端 Char"/>
    <w:link w:val="261"/>
    <w:qFormat/>
    <w:uiPriority w:val="0"/>
    <w:rPr>
      <w:rFonts w:ascii="Arial" w:hAnsi="Arial" w:eastAsia="宋体" w:cs="Times New Roman"/>
      <w:vanish/>
      <w:kern w:val="0"/>
      <w:sz w:val="16"/>
      <w:szCs w:val="16"/>
    </w:rPr>
  </w:style>
  <w:style w:type="paragraph" w:customStyle="1" w:styleId="263">
    <w:name w:val="z-窗体底端1"/>
    <w:basedOn w:val="1"/>
    <w:next w:val="1"/>
    <w:link w:val="264"/>
    <w:qFormat/>
    <w:uiPriority w:val="0"/>
    <w:pPr>
      <w:widowControl/>
      <w:pBdr>
        <w:top w:val="single" w:color="auto" w:sz="6" w:space="1"/>
      </w:pBdr>
      <w:jc w:val="center"/>
    </w:pPr>
    <w:rPr>
      <w:rFonts w:ascii="Arial" w:hAnsi="Arial"/>
      <w:vanish/>
      <w:kern w:val="0"/>
      <w:sz w:val="16"/>
      <w:szCs w:val="16"/>
    </w:rPr>
  </w:style>
  <w:style w:type="character" w:customStyle="1" w:styleId="264">
    <w:name w:val="z-窗体底端 Char"/>
    <w:link w:val="263"/>
    <w:qFormat/>
    <w:uiPriority w:val="0"/>
    <w:rPr>
      <w:rFonts w:ascii="Arial" w:hAnsi="Arial" w:eastAsia="宋体" w:cs="Times New Roman"/>
      <w:vanish/>
      <w:kern w:val="0"/>
      <w:sz w:val="16"/>
      <w:szCs w:val="16"/>
    </w:rPr>
  </w:style>
  <w:style w:type="paragraph" w:customStyle="1" w:styleId="2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2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267">
    <w:name w:val="段落正文"/>
    <w:basedOn w:val="23"/>
    <w:qFormat/>
    <w:uiPriority w:val="0"/>
    <w:pPr>
      <w:ind w:firstLine="560" w:firstLineChars="200"/>
    </w:pPr>
    <w:rPr>
      <w:sz w:val="28"/>
    </w:rPr>
  </w:style>
  <w:style w:type="character" w:customStyle="1" w:styleId="268">
    <w:name w:val="gray6"/>
    <w:basedOn w:val="45"/>
    <w:qFormat/>
    <w:uiPriority w:val="0"/>
  </w:style>
  <w:style w:type="character" w:customStyle="1" w:styleId="269">
    <w:name w:val="style9"/>
    <w:basedOn w:val="45"/>
    <w:qFormat/>
    <w:uiPriority w:val="0"/>
  </w:style>
  <w:style w:type="paragraph" w:customStyle="1" w:styleId="2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271">
    <w:name w:val="grame"/>
    <w:basedOn w:val="45"/>
    <w:qFormat/>
    <w:uiPriority w:val="0"/>
  </w:style>
  <w:style w:type="paragraph" w:customStyle="1" w:styleId="2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3">
    <w:name w:val="Char1"/>
    <w:basedOn w:val="1"/>
    <w:qFormat/>
    <w:uiPriority w:val="0"/>
    <w:pPr>
      <w:jc w:val="left"/>
    </w:pPr>
    <w:rPr>
      <w:rFonts w:ascii="Tahoma" w:hAnsi="Tahoma"/>
      <w:sz w:val="24"/>
      <w:szCs w:val="20"/>
    </w:rPr>
  </w:style>
  <w:style w:type="paragraph" w:customStyle="1" w:styleId="274">
    <w:name w:val="编号1"/>
    <w:basedOn w:val="1"/>
    <w:qFormat/>
    <w:uiPriority w:val="0"/>
    <w:pPr>
      <w:numPr>
        <w:ilvl w:val="0"/>
        <w:numId w:val="10"/>
      </w:numPr>
      <w:adjustRightInd w:val="0"/>
      <w:spacing w:line="300" w:lineRule="auto"/>
      <w:ind w:right="210"/>
      <w:textAlignment w:val="center"/>
    </w:pPr>
    <w:rPr>
      <w:rFonts w:ascii="宋体" w:hAnsi="宋体"/>
      <w:snapToGrid w:val="0"/>
      <w:spacing w:val="10"/>
      <w:kern w:val="24"/>
    </w:rPr>
  </w:style>
  <w:style w:type="paragraph" w:customStyle="1" w:styleId="2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79">
    <w:name w:val="表格字"/>
    <w:basedOn w:val="1"/>
    <w:qFormat/>
    <w:uiPriority w:val="0"/>
    <w:pPr>
      <w:adjustRightInd w:val="0"/>
      <w:jc w:val="center"/>
    </w:pPr>
    <w:rPr>
      <w:rFonts w:ascii="宋体"/>
      <w:sz w:val="24"/>
      <w:szCs w:val="20"/>
    </w:rPr>
  </w:style>
  <w:style w:type="character" w:customStyle="1" w:styleId="280">
    <w:name w:val="样式 小三 加粗"/>
    <w:qFormat/>
    <w:uiPriority w:val="0"/>
    <w:rPr>
      <w:rFonts w:eastAsia="宋体"/>
      <w:b/>
      <w:bCs/>
      <w:sz w:val="32"/>
    </w:rPr>
  </w:style>
  <w:style w:type="paragraph" w:customStyle="1" w:styleId="2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3">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84">
    <w:name w:val="info4"/>
    <w:basedOn w:val="45"/>
    <w:qFormat/>
    <w:uiPriority w:val="0"/>
  </w:style>
  <w:style w:type="paragraph" w:customStyle="1" w:styleId="285">
    <w:name w:val="缩进正文"/>
    <w:basedOn w:val="1"/>
    <w:link w:val="286"/>
    <w:qFormat/>
    <w:uiPriority w:val="0"/>
    <w:pPr>
      <w:ind w:firstLine="560" w:firstLineChars="200"/>
    </w:pPr>
    <w:rPr>
      <w:rFonts w:eastAsia="仿宋_GB2312"/>
      <w:kern w:val="0"/>
      <w:sz w:val="28"/>
      <w:szCs w:val="20"/>
    </w:rPr>
  </w:style>
  <w:style w:type="character" w:customStyle="1" w:styleId="286">
    <w:name w:val="缩进正文 Char"/>
    <w:link w:val="285"/>
    <w:qFormat/>
    <w:uiPriority w:val="0"/>
    <w:rPr>
      <w:rFonts w:ascii="Times New Roman" w:hAnsi="Times New Roman" w:eastAsia="仿宋_GB2312" w:cs="Times New Roman"/>
      <w:sz w:val="28"/>
      <w:szCs w:val="20"/>
    </w:rPr>
  </w:style>
  <w:style w:type="paragraph" w:styleId="287">
    <w:name w:val="List Paragraph"/>
    <w:basedOn w:val="1"/>
    <w:link w:val="292"/>
    <w:unhideWhenUsed/>
    <w:qFormat/>
    <w:uiPriority w:val="0"/>
    <w:pPr>
      <w:ind w:firstLine="420" w:firstLineChars="200"/>
    </w:pPr>
  </w:style>
  <w:style w:type="character" w:customStyle="1" w:styleId="288">
    <w:name w:val="正文缩进 Char1"/>
    <w:qFormat/>
    <w:uiPriority w:val="0"/>
    <w:rPr>
      <w:rFonts w:ascii="Times New Roman" w:hAnsi="Times New Roman"/>
      <w:szCs w:val="24"/>
    </w:rPr>
  </w:style>
  <w:style w:type="paragraph" w:customStyle="1" w:styleId="28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90">
    <w:name w:val="彩色列表 - 强调文字颜色 111"/>
    <w:basedOn w:val="1"/>
    <w:qFormat/>
    <w:uiPriority w:val="0"/>
    <w:pPr>
      <w:ind w:firstLine="420" w:firstLineChars="200"/>
    </w:pPr>
  </w:style>
  <w:style w:type="paragraph" w:customStyle="1" w:styleId="291">
    <w:name w:val="正文 New New"/>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92">
    <w:name w:val="清單段落 字元"/>
    <w:link w:val="287"/>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7A5F0CE-4F74-46D5-853B-C942506337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6308</Words>
  <Characters>35961</Characters>
  <Lines>299</Lines>
  <Paragraphs>84</Paragraphs>
  <TotalTime>2</TotalTime>
  <ScaleCrop>false</ScaleCrop>
  <LinksUpToDate>false</LinksUpToDate>
  <CharactersWithSpaces>42185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2020-02-24T06:57:00Z</dcterms:created>
  <dc:creator>陈森</dc:creator>
  <cp:lastModifiedBy>唐丽玲</cp:lastModifiedBy>
  <cp:lastPrinted>2017-06-22T10:36:00Z</cp:lastPrinted>
  <dcterms:modified xsi:type="dcterms:W3CDTF">2023-03-16T01:40:45Z</dcterms:modified>
  <cp:revision>1308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16EB684C31D14501B67188A45160662F</vt:lpwstr>
  </property>
</Properties>
</file>