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contextualSpacing/>
        <w:jc w:val="left"/>
        <w:outlineLvl w:val="0"/>
        <w:rPr>
          <w:rFonts w:hint="eastAsia"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2</w:t>
      </w:r>
    </w:p>
    <w:p>
      <w:pPr>
        <w:ind w:firstLine="0" w:firstLineChars="0"/>
        <w:contextualSpacing/>
        <w:jc w:val="left"/>
        <w:rPr>
          <w:rFonts w:ascii="黑体" w:hAnsi="黑体" w:eastAsia="黑体" w:cs="黑体"/>
          <w:szCs w:val="32"/>
        </w:rPr>
      </w:pPr>
    </w:p>
    <w:p>
      <w:pPr>
        <w:ind w:firstLine="0" w:firstLineChars="0"/>
        <w:contextualSpacing/>
        <w:jc w:val="center"/>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《深圳市医疗保障局关于进一步完善家庭</w:t>
      </w:r>
    </w:p>
    <w:p>
      <w:pPr>
        <w:ind w:firstLine="0" w:firstLineChars="0"/>
        <w:contextualSpacing/>
        <w:jc w:val="center"/>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病床服务医保支付有关事项的通知</w:t>
      </w:r>
    </w:p>
    <w:p>
      <w:pPr>
        <w:ind w:firstLine="0" w:firstLineChars="0"/>
        <w:contextualSpacing/>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（征求意见稿）》的起草说明</w:t>
      </w:r>
    </w:p>
    <w:p>
      <w:pPr>
        <w:ind w:firstLine="880"/>
        <w:contextualSpacing/>
        <w:rPr>
          <w:rFonts w:ascii="方正小标宋_GBK" w:hAnsi="方正小标宋_GBK" w:eastAsia="方正小标宋_GBK" w:cs="方正小标宋_GBK"/>
          <w:sz w:val="44"/>
          <w:szCs w:val="44"/>
        </w:rPr>
      </w:pPr>
    </w:p>
    <w:p>
      <w:pPr>
        <w:ind w:firstLine="640"/>
        <w:contextualSpacing/>
        <w:outlineLvl w:val="0"/>
        <w:rPr>
          <w:rFonts w:hint="eastAsia"/>
          <w:szCs w:val="32"/>
        </w:rPr>
      </w:pPr>
      <w:r>
        <w:rPr>
          <w:rStyle w:val="12"/>
          <w:rFonts w:hint="eastAsia" w:ascii="黑体" w:hAnsi="黑体" w:eastAsia="黑体" w:cs="黑体"/>
          <w:color w:val="000000"/>
          <w:sz w:val="32"/>
          <w:szCs w:val="32"/>
        </w:rPr>
        <w:t>一、起草背景</w:t>
      </w:r>
    </w:p>
    <w:p>
      <w:pPr>
        <w:spacing w:line="560" w:lineRule="exact"/>
        <w:ind w:firstLine="640" w:firstLineChars="200"/>
        <w:jc w:val="left"/>
        <w:rPr>
          <w:rFonts w:hint="eastAsia" w:cs="仿宋_GB2312"/>
          <w:sz w:val="32"/>
          <w:szCs w:val="32"/>
          <w:lang w:val="en-US" w:eastAsia="zh-CN"/>
        </w:rPr>
      </w:pPr>
      <w:r>
        <w:rPr>
          <w:rFonts w:hint="eastAsia" w:ascii="仿宋_GB2312" w:hAnsi="仿宋_GB2312" w:eastAsia="仿宋_GB2312" w:cs="仿宋_GB2312"/>
          <w:sz w:val="32"/>
          <w:szCs w:val="32"/>
          <w:lang w:val="en-US" w:eastAsia="zh-CN"/>
        </w:rPr>
        <w:t>发展完善家庭病床服务，是健全基层卫生健康服务，构建国际一流的整合型优质高效医疗卫生服务体系的重要支撑；是完善康复和护理体系，助力健康养老的基础性工作。</w:t>
      </w:r>
      <w:r>
        <w:rPr>
          <w:rFonts w:hint="eastAsia" w:ascii="仿宋_GB2312" w:hAnsi="仿宋_GB2312" w:eastAsia="仿宋_GB2312" w:cs="仿宋_GB2312"/>
          <w:sz w:val="32"/>
          <w:szCs w:val="32"/>
        </w:rPr>
        <w:t>深圳</w:t>
      </w:r>
      <w:r>
        <w:rPr>
          <w:rFonts w:hint="eastAsia" w:cs="仿宋_GB2312"/>
          <w:sz w:val="32"/>
          <w:szCs w:val="32"/>
          <w:lang w:eastAsia="zh-CN"/>
        </w:rPr>
        <w:t>着力</w:t>
      </w:r>
      <w:r>
        <w:rPr>
          <w:rFonts w:hint="eastAsia" w:ascii="仿宋_GB2312" w:hAnsi="仿宋_GB2312" w:eastAsia="仿宋_GB2312" w:cs="仿宋_GB2312"/>
          <w:sz w:val="32"/>
          <w:szCs w:val="32"/>
        </w:rPr>
        <w:t>发展完善家庭病床服务，构建整合型优质高效医疗卫生服务体系。2021年，深圳市卫生健康委员会和市医疗保障局</w:t>
      </w:r>
      <w:r>
        <w:rPr>
          <w:rFonts w:hint="eastAsia" w:cs="仿宋_GB2312"/>
          <w:sz w:val="32"/>
          <w:szCs w:val="32"/>
          <w:lang w:val="en-US" w:eastAsia="zh-CN"/>
        </w:rPr>
        <w:t>印发</w:t>
      </w:r>
      <w:r>
        <w:rPr>
          <w:rFonts w:hint="eastAsia" w:ascii="仿宋_GB2312" w:hAnsi="仿宋_GB2312" w:eastAsia="仿宋_GB2312" w:cs="仿宋_GB2312"/>
          <w:sz w:val="32"/>
          <w:szCs w:val="32"/>
          <w:highlight w:val="none"/>
          <w:u w:val="none"/>
          <w:lang w:val="en-US" w:eastAsia="zh-CN"/>
        </w:rPr>
        <w:t>《深圳市家庭病床管理办</w:t>
      </w:r>
      <w:r>
        <w:rPr>
          <w:rFonts w:hint="eastAsia" w:ascii="仿宋_GB2312" w:hAnsi="仿宋_GB2312" w:eastAsia="仿宋_GB2312" w:cs="仿宋_GB2312"/>
          <w:sz w:val="32"/>
          <w:szCs w:val="32"/>
          <w:u w:val="none"/>
          <w:lang w:val="en-US" w:eastAsia="zh-CN"/>
        </w:rPr>
        <w:t>法（试行）</w:t>
      </w:r>
      <w:r>
        <w:rPr>
          <w:rFonts w:hint="default" w:ascii="仿宋_GB2312" w:hAnsi="仿宋_GB2312" w:eastAsia="仿宋_GB2312" w:cs="仿宋_GB2312"/>
          <w:sz w:val="32"/>
          <w:szCs w:val="32"/>
          <w:u w:val="none"/>
          <w:lang w:val="en-US" w:eastAsia="zh-CN"/>
        </w:rPr>
        <w:t>》</w:t>
      </w:r>
      <w:r>
        <w:rPr>
          <w:rFonts w:hint="eastAsia" w:ascii="仿宋_GB2312" w:hAnsi="仿宋_GB2312" w:eastAsia="仿宋_GB2312" w:cs="仿宋_GB2312"/>
          <w:color w:val="auto"/>
          <w:sz w:val="32"/>
          <w:szCs w:val="32"/>
          <w:u w:val="none"/>
          <w:lang w:val="en-US" w:eastAsia="zh-CN"/>
        </w:rPr>
        <w:t>（深卫健规〔2021〕1号，以下简称《管理办法》）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完善家庭病床服务管理</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规范</w:t>
      </w:r>
      <w:r>
        <w:rPr>
          <w:rFonts w:hint="eastAsia" w:cs="仿宋_GB2312"/>
          <w:sz w:val="32"/>
          <w:szCs w:val="32"/>
          <w:lang w:val="en-US" w:eastAsia="zh-CN"/>
        </w:rPr>
        <w:t>家</w:t>
      </w:r>
      <w:r>
        <w:rPr>
          <w:rFonts w:hint="eastAsia" w:ascii="仿宋_GB2312" w:hAnsi="仿宋_GB2312" w:eastAsia="仿宋_GB2312" w:cs="仿宋_GB2312"/>
          <w:sz w:val="32"/>
          <w:szCs w:val="32"/>
          <w:lang w:val="en-US" w:eastAsia="zh-CN"/>
        </w:rPr>
        <w:t>庭病床服务</w:t>
      </w:r>
      <w:r>
        <w:rPr>
          <w:rFonts w:hint="eastAsia" w:cs="仿宋_GB2312"/>
          <w:sz w:val="32"/>
          <w:szCs w:val="32"/>
          <w:lang w:val="en-US" w:eastAsia="zh-CN"/>
        </w:rPr>
        <w:t>，促进我市家庭病床服务高质量发展</w:t>
      </w:r>
      <w:r>
        <w:rPr>
          <w:rFonts w:hint="eastAsia" w:ascii="仿宋_GB2312" w:hAnsi="仿宋_GB2312" w:eastAsia="仿宋_GB2312" w:cs="仿宋_GB2312"/>
          <w:sz w:val="32"/>
          <w:szCs w:val="32"/>
        </w:rPr>
        <w:t>。</w:t>
      </w:r>
      <w:r>
        <w:rPr>
          <w:rFonts w:hint="eastAsia" w:cs="仿宋_GB2312"/>
          <w:sz w:val="32"/>
          <w:szCs w:val="32"/>
          <w:lang w:val="en-US" w:eastAsia="zh-CN"/>
        </w:rPr>
        <w:t>2022年3月，国家卫生健康委、国家医疗保障局等六部门联合印发《关于推进家庭医生签约服务高质量发展的指导意见》（国卫基层发〔2022〕10号）要求丰富服务内容，结合实际提供上门治疗、随访管理、康复、护理、安宁疗护、健康指导及家庭病床等服务。</w:t>
      </w:r>
    </w:p>
    <w:p>
      <w:pPr>
        <w:ind w:firstLine="640"/>
        <w:contextualSpacing/>
        <w:rPr>
          <w:rFonts w:hint="eastAsia"/>
          <w:szCs w:val="32"/>
        </w:rPr>
      </w:pPr>
      <w:r>
        <w:rPr>
          <w:rFonts w:hint="eastAsia"/>
          <w:szCs w:val="32"/>
          <w:highlight w:val="none"/>
        </w:rPr>
        <w:t>目前</w:t>
      </w:r>
      <w:r>
        <w:rPr>
          <w:rFonts w:hint="eastAsia"/>
          <w:szCs w:val="32"/>
          <w:highlight w:val="none"/>
          <w:lang w:eastAsia="zh-CN"/>
        </w:rPr>
        <w:t>，深圳家庭病床医保结算采用全市统一的平均床日医保记账费用标准，缺乏对不同类型疾病支付标准的分组测算，医保费用</w:t>
      </w:r>
      <w:r>
        <w:rPr>
          <w:rFonts w:hint="eastAsia"/>
          <w:szCs w:val="32"/>
          <w:highlight w:val="none"/>
          <w:lang w:val="en-US" w:eastAsia="zh-CN"/>
        </w:rPr>
        <w:t>支付</w:t>
      </w:r>
      <w:r>
        <w:rPr>
          <w:rFonts w:hint="eastAsia"/>
          <w:szCs w:val="32"/>
          <w:highlight w:val="none"/>
          <w:lang w:eastAsia="zh-CN"/>
        </w:rPr>
        <w:t>不够精细化。</w:t>
      </w:r>
      <w:r>
        <w:rPr>
          <w:rFonts w:hint="eastAsia" w:ascii="仿宋_GB2312" w:hAnsi="仿宋_GB2312" w:eastAsia="仿宋_GB2312" w:cs="仿宋_GB2312"/>
          <w:sz w:val="32"/>
          <w:szCs w:val="32"/>
          <w:highlight w:val="none"/>
          <w:u w:val="none"/>
          <w:lang w:val="en-US" w:eastAsia="zh-CN"/>
        </w:rPr>
        <w:t>为进一步规范家庭病床服务医保费用</w:t>
      </w:r>
      <w:r>
        <w:rPr>
          <w:rFonts w:hint="eastAsia" w:cs="仿宋_GB2312"/>
          <w:sz w:val="32"/>
          <w:szCs w:val="32"/>
          <w:highlight w:val="none"/>
          <w:u w:val="none"/>
          <w:lang w:val="en-US" w:eastAsia="zh-CN"/>
        </w:rPr>
        <w:t>支付</w:t>
      </w:r>
      <w:r>
        <w:rPr>
          <w:rFonts w:hint="eastAsia" w:ascii="仿宋_GB2312" w:hAnsi="仿宋_GB2312" w:eastAsia="仿宋_GB2312" w:cs="仿宋_GB2312"/>
          <w:sz w:val="32"/>
          <w:szCs w:val="32"/>
          <w:highlight w:val="none"/>
          <w:u w:val="none"/>
          <w:lang w:val="en-US" w:eastAsia="zh-CN"/>
        </w:rPr>
        <w:t>管理，促进家庭病床服务健康良性发展，满足参保人居家（养老机构）医疗照顾需求，根据《管理办</w:t>
      </w:r>
      <w:r>
        <w:rPr>
          <w:rFonts w:hint="eastAsia" w:ascii="仿宋_GB2312" w:hAnsi="仿宋_GB2312" w:eastAsia="仿宋_GB2312" w:cs="仿宋_GB2312"/>
          <w:sz w:val="32"/>
          <w:szCs w:val="32"/>
          <w:u w:val="none"/>
          <w:lang w:val="en-US" w:eastAsia="zh-CN"/>
        </w:rPr>
        <w:t>法</w:t>
      </w:r>
      <w:r>
        <w:rPr>
          <w:rFonts w:hint="default" w:ascii="仿宋_GB2312" w:hAnsi="仿宋_GB2312" w:eastAsia="仿宋_GB2312" w:cs="仿宋_GB2312"/>
          <w:sz w:val="32"/>
          <w:szCs w:val="32"/>
          <w:u w:val="none"/>
          <w:lang w:val="en-US" w:eastAsia="zh-CN"/>
        </w:rPr>
        <w:t>》</w:t>
      </w:r>
      <w:r>
        <w:rPr>
          <w:rFonts w:hint="eastAsia" w:ascii="仿宋_GB2312" w:hAnsi="仿宋_GB2312" w:eastAsia="仿宋_GB2312" w:cs="仿宋_GB2312"/>
          <w:color w:val="auto"/>
          <w:sz w:val="32"/>
          <w:szCs w:val="32"/>
          <w:u w:val="none"/>
          <w:lang w:val="en-US" w:eastAsia="zh-CN"/>
        </w:rPr>
        <w:t>相关规定要求，经</w:t>
      </w:r>
      <w:r>
        <w:rPr>
          <w:rFonts w:hint="eastAsia" w:cs="仿宋_GB2312"/>
          <w:color w:val="auto"/>
          <w:sz w:val="32"/>
          <w:szCs w:val="32"/>
          <w:u w:val="none"/>
          <w:lang w:val="en-US" w:eastAsia="zh-CN"/>
        </w:rPr>
        <w:t>调研论证</w:t>
      </w:r>
      <w:r>
        <w:rPr>
          <w:rFonts w:hint="eastAsia" w:ascii="仿宋_GB2312" w:hAnsi="仿宋_GB2312" w:eastAsia="仿宋_GB2312" w:cs="仿宋_GB2312"/>
          <w:color w:val="auto"/>
          <w:sz w:val="32"/>
          <w:szCs w:val="32"/>
          <w:u w:val="none"/>
          <w:lang w:val="en-US" w:eastAsia="zh-CN"/>
        </w:rPr>
        <w:t>，</w:t>
      </w:r>
      <w:r>
        <w:rPr>
          <w:rFonts w:hint="eastAsia" w:cs="仿宋_GB2312"/>
          <w:color w:val="auto"/>
          <w:sz w:val="32"/>
          <w:szCs w:val="32"/>
          <w:u w:val="none"/>
          <w:lang w:val="en-US" w:eastAsia="zh-CN"/>
        </w:rPr>
        <w:t>形成《深圳市医疗保障局关于</w:t>
      </w:r>
      <w:r>
        <w:rPr>
          <w:rFonts w:hint="eastAsia" w:ascii="仿宋_GB2312" w:hAnsi="仿宋_GB2312" w:eastAsia="仿宋_GB2312" w:cs="仿宋_GB2312"/>
          <w:color w:val="auto"/>
          <w:sz w:val="32"/>
          <w:szCs w:val="32"/>
          <w:u w:val="none"/>
          <w:lang w:val="en-US" w:eastAsia="zh-CN"/>
        </w:rPr>
        <w:t>进一步完善家庭病床服务医保支付</w:t>
      </w:r>
      <w:r>
        <w:rPr>
          <w:rFonts w:hint="eastAsia" w:cs="仿宋_GB2312"/>
          <w:color w:val="auto"/>
          <w:sz w:val="32"/>
          <w:szCs w:val="32"/>
          <w:u w:val="none"/>
          <w:lang w:val="en-US" w:eastAsia="zh-CN"/>
        </w:rPr>
        <w:t>支付有关事项的通知》（以下简称《通知》）。</w:t>
      </w:r>
    </w:p>
    <w:p>
      <w:pPr>
        <w:ind w:firstLine="640"/>
        <w:contextualSpacing/>
        <w:outlineLvl w:val="0"/>
        <w:rPr>
          <w:rStyle w:val="12"/>
          <w:rFonts w:ascii="黑体" w:hAnsi="黑体" w:eastAsia="黑体" w:cs="黑体"/>
          <w:color w:val="000000"/>
          <w:sz w:val="32"/>
          <w:szCs w:val="32"/>
        </w:rPr>
      </w:pPr>
      <w:r>
        <w:rPr>
          <w:rStyle w:val="12"/>
          <w:rFonts w:hint="eastAsia" w:ascii="黑体" w:hAnsi="黑体" w:eastAsia="黑体" w:cs="黑体"/>
          <w:color w:val="000000"/>
          <w:sz w:val="32"/>
          <w:szCs w:val="32"/>
        </w:rPr>
        <w:t>二、必要性</w:t>
      </w:r>
    </w:p>
    <w:p>
      <w:pPr>
        <w:keepNext w:val="0"/>
        <w:keepLines w:val="0"/>
        <w:pageBreakBefore w:val="0"/>
        <w:widowControl w:val="0"/>
        <w:kinsoku/>
        <w:wordWrap/>
        <w:overflowPunct/>
        <w:topLinePunct w:val="0"/>
        <w:autoSpaceDE/>
        <w:autoSpaceDN/>
        <w:bidi w:val="0"/>
        <w:adjustRightInd w:val="0"/>
        <w:snapToGrid w:val="0"/>
        <w:ind w:firstLine="640"/>
        <w:contextualSpacing/>
        <w:textAlignment w:val="auto"/>
        <w:outlineLvl w:val="9"/>
        <w:rPr>
          <w:rFonts w:hint="eastAsia"/>
          <w:szCs w:val="32"/>
          <w:highlight w:val="none"/>
          <w:lang w:eastAsia="zh-CN"/>
        </w:rPr>
      </w:pPr>
      <w:r>
        <w:rPr>
          <w:rFonts w:hint="eastAsia" w:ascii="仿宋_GB2312" w:hAnsi="仿宋_GB2312" w:eastAsia="仿宋_GB2312" w:cs="仿宋_GB2312"/>
          <w:b w:val="0"/>
          <w:bCs w:val="0"/>
          <w:szCs w:val="32"/>
          <w:lang w:eastAsia="zh-CN"/>
        </w:rPr>
        <w:t>进一步细化家庭病床病种类型，</w:t>
      </w:r>
      <w:r>
        <w:rPr>
          <w:rFonts w:hint="eastAsia" w:cs="仿宋_GB2312"/>
          <w:b w:val="0"/>
          <w:bCs w:val="0"/>
          <w:szCs w:val="32"/>
          <w:lang w:eastAsia="zh-CN"/>
        </w:rPr>
        <w:t>为参保人提供质优可及的家床服务，</w:t>
      </w:r>
      <w:r>
        <w:rPr>
          <w:rFonts w:hint="eastAsia" w:ascii="仿宋_GB2312" w:hAnsi="仿宋_GB2312" w:eastAsia="仿宋_GB2312" w:cs="仿宋_GB2312"/>
          <w:b w:val="0"/>
          <w:bCs w:val="0"/>
          <w:szCs w:val="32"/>
          <w:lang w:eastAsia="zh-CN"/>
        </w:rPr>
        <w:t>是医保支付精细化管理的必要基础，也是落实“把病床安在家里”</w:t>
      </w:r>
      <w:r>
        <w:rPr>
          <w:rFonts w:hint="eastAsia" w:ascii="仿宋_GB2312" w:hAnsi="仿宋_GB2312" w:eastAsia="仿宋_GB2312" w:cs="仿宋_GB2312"/>
          <w:b w:val="0"/>
          <w:bCs w:val="0"/>
          <w:szCs w:val="32"/>
        </w:rPr>
        <w:t>的客观要求</w:t>
      </w:r>
      <w:r>
        <w:rPr>
          <w:rFonts w:hint="eastAsia" w:ascii="仿宋_GB2312" w:hAnsi="仿宋_GB2312" w:eastAsia="仿宋_GB2312" w:cs="仿宋_GB2312"/>
          <w:b w:val="0"/>
          <w:bCs w:val="0"/>
          <w:szCs w:val="32"/>
          <w:lang w:eastAsia="zh-CN"/>
        </w:rPr>
        <w:t>。</w:t>
      </w:r>
      <w:r>
        <w:rPr>
          <w:rFonts w:hint="eastAsia" w:cs="仿宋_GB2312"/>
          <w:b w:val="0"/>
          <w:bCs w:val="0"/>
          <w:szCs w:val="32"/>
          <w:lang w:val="en-US" w:eastAsia="zh-CN"/>
        </w:rPr>
        <w:t>经调研，</w:t>
      </w:r>
      <w:r>
        <w:rPr>
          <w:rFonts w:hint="eastAsia" w:cs="仿宋_GB2312"/>
          <w:szCs w:val="32"/>
          <w:lang w:val="en-US" w:eastAsia="zh-CN"/>
        </w:rPr>
        <w:t>建立</w:t>
      </w:r>
      <w:r>
        <w:rPr>
          <w:rFonts w:hint="eastAsia" w:ascii="仿宋_GB2312" w:hAnsi="仿宋_GB2312" w:eastAsia="仿宋_GB2312" w:cs="仿宋_GB2312"/>
          <w:szCs w:val="32"/>
          <w:lang w:val="en-US" w:eastAsia="zh-CN"/>
        </w:rPr>
        <w:t>家庭病床</w:t>
      </w:r>
      <w:r>
        <w:rPr>
          <w:rFonts w:hint="eastAsia" w:cs="仿宋_GB2312"/>
          <w:szCs w:val="32"/>
          <w:lang w:val="en-US" w:eastAsia="zh-CN"/>
        </w:rPr>
        <w:t>患者的主要病种为慢性病及其后遗症引起的各类疾病，比如高血压、糖尿病、脑卒中、肿瘤术后等心血管系统疾病或神经系统疾病，通过进一步细化不同类型病种的按床日付费标准</w:t>
      </w:r>
      <w:r>
        <w:rPr>
          <w:rFonts w:hint="eastAsia"/>
          <w:szCs w:val="32"/>
          <w:highlight w:val="none"/>
          <w:lang w:eastAsia="zh-CN"/>
        </w:rPr>
        <w:t>，有利于实现医保精细化管理，同时能够引导医疗机构合理诊疗，切实为群众提供真正所需的家床服务。</w:t>
      </w:r>
    </w:p>
    <w:p>
      <w:pPr>
        <w:ind w:firstLine="640"/>
        <w:contextualSpacing/>
        <w:rPr>
          <w:rFonts w:hint="default" w:eastAsia="仿宋_GB2312"/>
          <w:szCs w:val="32"/>
          <w:lang w:val="en-US" w:eastAsia="zh-CN"/>
        </w:rPr>
      </w:pPr>
      <w:r>
        <w:rPr>
          <w:rFonts w:hint="eastAsia"/>
          <w:szCs w:val="32"/>
          <w:lang w:val="en-US" w:eastAsia="zh-CN"/>
        </w:rPr>
        <w:t>为此，我局起草了《通知》，</w:t>
      </w:r>
      <w:r>
        <w:rPr>
          <w:rFonts w:hint="eastAsia"/>
          <w:szCs w:val="32"/>
          <w:highlight w:val="none"/>
          <w:lang w:eastAsia="zh-CN"/>
        </w:rPr>
        <w:t>通过</w:t>
      </w:r>
      <w:r>
        <w:rPr>
          <w:rFonts w:hint="eastAsia"/>
          <w:szCs w:val="32"/>
          <w:highlight w:val="none"/>
          <w:lang w:val="en-US" w:eastAsia="zh-CN"/>
        </w:rPr>
        <w:t>优化医保支付方式，完善家庭病床政策体系、监管机制，推动精细化、标准化管理，促进我市家庭病床服务高质量发展。</w:t>
      </w:r>
    </w:p>
    <w:p>
      <w:pPr>
        <w:ind w:firstLine="640"/>
        <w:contextualSpacing/>
        <w:outlineLvl w:val="0"/>
        <w:rPr>
          <w:rFonts w:hint="eastAsia" w:ascii="黑体" w:hAnsi="黑体" w:eastAsia="黑体" w:cs="黑体"/>
          <w:szCs w:val="32"/>
          <w:lang w:val="en-US" w:eastAsia="zh-CN"/>
        </w:rPr>
      </w:pPr>
      <w:r>
        <w:rPr>
          <w:rFonts w:hint="eastAsia" w:ascii="黑体" w:hAnsi="黑体" w:eastAsia="黑体" w:cs="黑体"/>
          <w:szCs w:val="32"/>
        </w:rPr>
        <w:t>三、主要内容</w:t>
      </w:r>
    </w:p>
    <w:p>
      <w:pPr>
        <w:keepNext w:val="0"/>
        <w:keepLines w:val="0"/>
        <w:pageBreakBefore w:val="0"/>
        <w:widowControl/>
        <w:kinsoku/>
        <w:wordWrap/>
        <w:overflowPunct/>
        <w:topLinePunct w:val="0"/>
        <w:autoSpaceDE/>
        <w:autoSpaceDN/>
        <w:bidi w:val="0"/>
        <w:adjustRightInd w:val="0"/>
        <w:snapToGrid w:val="0"/>
        <w:spacing w:line="560" w:lineRule="exact"/>
        <w:ind w:firstLine="640"/>
        <w:jc w:val="left"/>
        <w:textAlignment w:val="auto"/>
        <w:outlineLvl w:val="9"/>
        <w:rPr>
          <w:rFonts w:hint="eastAsia" w:ascii="楷体_GB2312" w:hAnsi="楷体_GB2312" w:eastAsia="楷体_GB2312" w:cs="楷体_GB2312"/>
          <w:szCs w:val="32"/>
          <w:lang w:val="en-US" w:eastAsia="zh-CN"/>
        </w:rPr>
      </w:pPr>
      <w:r>
        <w:rPr>
          <w:rFonts w:hint="eastAsia" w:ascii="仿宋_GB2312" w:eastAsia="仿宋_GB2312" w:cs="仿宋_GB2312"/>
          <w:sz w:val="32"/>
          <w:szCs w:val="32"/>
        </w:rPr>
        <w:t>《</w:t>
      </w:r>
      <w:r>
        <w:rPr>
          <w:rFonts w:hint="eastAsia" w:cs="仿宋_GB2312"/>
          <w:sz w:val="32"/>
          <w:szCs w:val="32"/>
          <w:lang w:val="en-US" w:eastAsia="zh-CN"/>
        </w:rPr>
        <w:t>通知</w:t>
      </w:r>
      <w:r>
        <w:rPr>
          <w:rFonts w:hint="eastAsia" w:ascii="仿宋_GB2312" w:eastAsia="仿宋_GB2312" w:cs="仿宋_GB2312"/>
          <w:sz w:val="32"/>
          <w:szCs w:val="32"/>
        </w:rPr>
        <w:t>》</w:t>
      </w:r>
      <w:r>
        <w:rPr>
          <w:rFonts w:hint="eastAsia" w:cs="仿宋_GB2312"/>
          <w:sz w:val="32"/>
          <w:szCs w:val="32"/>
          <w:lang w:val="en-US" w:eastAsia="zh-CN"/>
        </w:rPr>
        <w:t>共</w:t>
      </w:r>
      <w:r>
        <w:rPr>
          <w:rFonts w:hint="eastAsia" w:ascii="仿宋_GB2312" w:eastAsia="仿宋_GB2312" w:cs="仿宋_GB2312"/>
          <w:sz w:val="32"/>
          <w:szCs w:val="32"/>
        </w:rPr>
        <w:t>分为</w:t>
      </w:r>
      <w:r>
        <w:rPr>
          <w:rFonts w:hint="eastAsia" w:cs="仿宋_GB2312"/>
          <w:sz w:val="32"/>
          <w:szCs w:val="32"/>
          <w:lang w:val="en-US" w:eastAsia="zh-CN"/>
        </w:rPr>
        <w:t>五点，对细化按床日付费、动态调整支付标准、月预结算、年终清算</w:t>
      </w:r>
      <w:r>
        <w:rPr>
          <w:rFonts w:hint="eastAsia" w:ascii="仿宋_GB2312" w:eastAsia="仿宋_GB2312" w:cs="仿宋_GB2312"/>
          <w:sz w:val="32"/>
          <w:szCs w:val="32"/>
        </w:rPr>
        <w:t>等方面予以规范</w:t>
      </w:r>
      <w:r>
        <w:rPr>
          <w:rFonts w:hint="eastAsia" w:cs="仿宋_GB2312"/>
          <w:sz w:val="32"/>
          <w:szCs w:val="32"/>
          <w:lang w:val="en-US" w:eastAsia="zh-CN"/>
        </w:rPr>
        <w:t>明确</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outlineLvl w:val="1"/>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（一）细化按床日付费</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市医疗保障部门按照床日医保记账费用付费方式与提供家庭病床服务的定点医疗机构（以下简称家床定点机构）结算家庭病床服务医疗费用，对符合</w:t>
      </w:r>
      <w:r>
        <w:rPr>
          <w:rFonts w:hint="eastAsia" w:ascii="仿宋_GB2312" w:hAnsi="仿宋_GB2312" w:eastAsia="仿宋_GB2312" w:cs="仿宋_GB2312"/>
          <w:color w:val="auto"/>
          <w:sz w:val="32"/>
          <w:szCs w:val="32"/>
          <w:u w:val="none"/>
          <w:lang w:val="en-US" w:eastAsia="zh-CN"/>
        </w:rPr>
        <w:t>《管理办法》建床条件患者</w:t>
      </w:r>
      <w:r>
        <w:rPr>
          <w:rFonts w:hint="eastAsia" w:ascii="仿宋_GB2312" w:hAnsi="仿宋_GB2312" w:eastAsia="仿宋_GB2312" w:cs="仿宋_GB2312"/>
          <w:sz w:val="32"/>
          <w:szCs w:val="32"/>
          <w:u w:val="none"/>
          <w:lang w:val="en-US" w:eastAsia="zh-CN"/>
        </w:rPr>
        <w:t>以病种类型为单位对资源消耗相似病例进行聚类，</w:t>
      </w:r>
      <w:r>
        <w:rPr>
          <w:rFonts w:hint="eastAsia" w:cs="仿宋_GB2312"/>
          <w:sz w:val="32"/>
          <w:szCs w:val="32"/>
          <w:u w:val="none"/>
          <w:lang w:val="en-US" w:eastAsia="zh-CN"/>
        </w:rPr>
        <w:t>形成细化</w:t>
      </w:r>
      <w:r>
        <w:rPr>
          <w:rFonts w:hint="eastAsia" w:ascii="仿宋_GB2312" w:hAnsi="仿宋_GB2312" w:eastAsia="仿宋_GB2312" w:cs="仿宋_GB2312"/>
          <w:sz w:val="32"/>
          <w:szCs w:val="32"/>
          <w:u w:val="none"/>
          <w:lang w:val="en-US" w:eastAsia="zh-CN"/>
        </w:rPr>
        <w:t>病种</w:t>
      </w:r>
      <w:r>
        <w:rPr>
          <w:rFonts w:hint="eastAsia" w:cs="仿宋_GB2312"/>
          <w:sz w:val="32"/>
          <w:szCs w:val="32"/>
          <w:u w:val="none"/>
          <w:lang w:val="en-US" w:eastAsia="zh-CN"/>
        </w:rPr>
        <w:t>类型，实现对家庭病床病种的细化管理。</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outlineLvl w:val="1"/>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Cs w:val="32"/>
          <w:lang w:val="en-US" w:eastAsia="zh-CN"/>
        </w:rPr>
        <w:t>（二）</w:t>
      </w:r>
      <w:r>
        <w:rPr>
          <w:rFonts w:hint="eastAsia" w:ascii="楷体_GB2312" w:hAnsi="楷体_GB2312" w:eastAsia="楷体_GB2312" w:cs="楷体_GB2312"/>
          <w:sz w:val="32"/>
          <w:szCs w:val="32"/>
          <w:u w:val="none"/>
          <w:lang w:val="en-US" w:eastAsia="zh-CN"/>
        </w:rPr>
        <w:t>动态调整支付标准</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u w:val="none"/>
          <w:lang w:val="en-US" w:eastAsia="zh-CN"/>
        </w:rPr>
        <w:t>家庭病床的床日付费标准由</w:t>
      </w:r>
      <w:r>
        <w:rPr>
          <w:rFonts w:hint="eastAsia" w:cs="仿宋_GB2312"/>
          <w:sz w:val="32"/>
          <w:szCs w:val="32"/>
          <w:u w:val="none"/>
          <w:lang w:val="en-US" w:eastAsia="zh-CN"/>
        </w:rPr>
        <w:t>市</w:t>
      </w:r>
      <w:r>
        <w:rPr>
          <w:rFonts w:hint="eastAsia" w:ascii="仿宋_GB2312" w:hAnsi="仿宋_GB2312" w:eastAsia="仿宋_GB2312" w:cs="仿宋_GB2312"/>
          <w:sz w:val="32"/>
          <w:szCs w:val="32"/>
          <w:u w:val="none"/>
          <w:lang w:val="en-US" w:eastAsia="zh-CN"/>
        </w:rPr>
        <w:t>医疗保障部门根据基本医疗保险基金支出预算，结合家床定点机构</w:t>
      </w:r>
      <w:r>
        <w:rPr>
          <w:rFonts w:hint="eastAsia" w:ascii="仿宋_GB2312" w:hAnsi="仿宋_GB2312" w:eastAsia="仿宋_GB2312" w:cs="仿宋_GB2312"/>
          <w:sz w:val="32"/>
          <w:szCs w:val="32"/>
          <w:highlight w:val="none"/>
          <w:u w:val="none"/>
          <w:lang w:val="en-US" w:eastAsia="zh-CN"/>
        </w:rPr>
        <w:t>服务提供量</w:t>
      </w:r>
      <w:r>
        <w:rPr>
          <w:rFonts w:hint="eastAsia" w:ascii="仿宋_GB2312" w:hAnsi="仿宋_GB2312" w:eastAsia="仿宋_GB2312" w:cs="仿宋_GB2312"/>
          <w:sz w:val="32"/>
          <w:szCs w:val="32"/>
          <w:u w:val="none"/>
          <w:lang w:val="en-US" w:eastAsia="zh-CN"/>
        </w:rPr>
        <w:t>及实际医疗费用发生情况进行测算，综合考虑基本医疗保险政策调整及医疗服务项目收费标准调整等因素拟定，与各家床定点机构协</w:t>
      </w:r>
      <w:r>
        <w:rPr>
          <w:rFonts w:hint="eastAsia" w:ascii="仿宋_GB2312" w:hAnsi="仿宋_GB2312" w:eastAsia="仿宋_GB2312" w:cs="仿宋_GB2312"/>
          <w:sz w:val="32"/>
          <w:szCs w:val="32"/>
          <w:highlight w:val="none"/>
          <w:u w:val="none"/>
          <w:lang w:val="en-US" w:eastAsia="zh-CN"/>
        </w:rPr>
        <w:t>商并通过补充协议确定。</w:t>
      </w:r>
      <w:r>
        <w:rPr>
          <w:rFonts w:hint="eastAsia" w:cs="仿宋_GB2312"/>
          <w:sz w:val="32"/>
          <w:szCs w:val="32"/>
          <w:highlight w:val="none"/>
          <w:u w:val="none"/>
          <w:lang w:val="en-US" w:eastAsia="zh-CN"/>
        </w:rPr>
        <w:t>建立动态调整机制，科学</w:t>
      </w:r>
      <w:r>
        <w:rPr>
          <w:rFonts w:hint="eastAsia" w:cs="仿宋_GB2312"/>
          <w:sz w:val="32"/>
          <w:szCs w:val="32"/>
          <w:u w:val="none"/>
          <w:lang w:val="en-US" w:eastAsia="zh-CN"/>
        </w:rPr>
        <w:t>合理制定支付标准，</w:t>
      </w:r>
      <w:r>
        <w:rPr>
          <w:rFonts w:hint="eastAsia" w:cs="仿宋_GB2312"/>
          <w:sz w:val="32"/>
          <w:szCs w:val="32"/>
          <w:highlight w:val="none"/>
          <w:u w:val="none"/>
          <w:lang w:val="en-US" w:eastAsia="zh-CN"/>
        </w:rPr>
        <w:t>而不是简单的“一刀切”，更好满足现实需求。</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outlineLvl w:val="1"/>
        <w:rPr>
          <w:rFonts w:hint="default"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（三）明确费用结算方式</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仿宋_GB2312" w:hAnsi="仿宋_GB2312" w:eastAsia="仿宋_GB2312" w:cs="仿宋_GB2312"/>
          <w:color w:val="auto"/>
          <w:sz w:val="32"/>
          <w:szCs w:val="32"/>
          <w:u w:val="none"/>
          <w:lang w:val="en-US" w:eastAsia="zh-CN"/>
        </w:rPr>
      </w:pPr>
      <w:r>
        <w:rPr>
          <w:rFonts w:hint="eastAsia" w:cs="仿宋_GB2312"/>
          <w:color w:val="auto"/>
          <w:sz w:val="32"/>
          <w:szCs w:val="32"/>
          <w:u w:val="none"/>
          <w:lang w:val="en-US" w:eastAsia="zh-CN"/>
        </w:rPr>
        <w:t>延续</w:t>
      </w:r>
      <w:r>
        <w:rPr>
          <w:rFonts w:hint="eastAsia" w:ascii="仿宋_GB2312" w:hAnsi="仿宋_GB2312" w:eastAsia="仿宋_GB2312" w:cs="仿宋_GB2312"/>
          <w:color w:val="auto"/>
          <w:sz w:val="32"/>
          <w:szCs w:val="32"/>
          <w:u w:val="none"/>
          <w:lang w:val="en-US" w:eastAsia="zh-CN"/>
        </w:rPr>
        <w:t>《管理办法》</w:t>
      </w:r>
      <w:r>
        <w:rPr>
          <w:rFonts w:hint="eastAsia" w:cs="仿宋_GB2312"/>
          <w:color w:val="auto"/>
          <w:sz w:val="32"/>
          <w:szCs w:val="32"/>
          <w:u w:val="none"/>
          <w:lang w:val="en-US" w:eastAsia="zh-CN"/>
        </w:rPr>
        <w:t>做法，</w:t>
      </w:r>
      <w:r>
        <w:rPr>
          <w:rFonts w:hint="eastAsia" w:ascii="仿宋_GB2312" w:hAnsi="仿宋_GB2312" w:eastAsia="仿宋_GB2312" w:cs="仿宋_GB2312"/>
          <w:color w:val="auto"/>
          <w:sz w:val="32"/>
          <w:szCs w:val="32"/>
          <w:u w:val="none"/>
          <w:lang w:val="en-US" w:eastAsia="zh-CN"/>
        </w:rPr>
        <w:t>家床定点机构每月家庭病床实际医保记账总费用低于当月家庭病床医保记账标准总费用的，按照当月家庭病床实际医保记账总费用支付；超过当月家庭病床医保记账标准总费用的，按照当月家庭病床医保记账标准总费用支付。年终清算时，家床定点机构每年度实际平均床日医保记账费用低于平均床日医保记账费用标准的，按照当年度家庭病床实际医保记账总费用支付；超过平均床日医保记账费用标准的，按照当年度家庭病床医保记账标准总费用支付。</w:t>
      </w:r>
    </w:p>
    <w:p>
      <w:pPr>
        <w:ind w:left="0" w:leftChars="0" w:firstLine="0" w:firstLineChars="0"/>
        <w:contextualSpacing/>
        <w:rPr>
          <w:rFonts w:hint="default" w:eastAsia="仿宋_GB2312"/>
          <w:szCs w:val="32"/>
          <w:lang w:val="en-US" w:eastAsia="zh-CN"/>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sz w:val="36"/>
                              <w:szCs w:val="36"/>
                              <w:lang w:eastAsia="zh-CN"/>
                            </w:rPr>
                          </w:pPr>
                          <w:r>
                            <w:rPr>
                              <w:rFonts w:hint="eastAsia"/>
                              <w:sz w:val="36"/>
                              <w:szCs w:val="36"/>
                              <w:lang w:eastAsia="zh-CN"/>
                            </w:rPr>
                            <w:t>—</w:t>
                          </w:r>
                          <w:r>
                            <w:rPr>
                              <w:rFonts w:hint="eastAsia"/>
                              <w:sz w:val="36"/>
                              <w:szCs w:val="36"/>
                              <w:lang w:eastAsia="zh-CN"/>
                            </w:rPr>
                            <w:fldChar w:fldCharType="begin"/>
                          </w:r>
                          <w:r>
                            <w:rPr>
                              <w:rFonts w:hint="eastAsia"/>
                              <w:sz w:val="36"/>
                              <w:szCs w:val="36"/>
                              <w:lang w:eastAsia="zh-CN"/>
                            </w:rPr>
                            <w:instrText xml:space="preserve"> PAGE  \* MERGEFORMAT </w:instrText>
                          </w:r>
                          <w:r>
                            <w:rPr>
                              <w:rFonts w:hint="eastAsia"/>
                              <w:sz w:val="36"/>
                              <w:szCs w:val="36"/>
                              <w:lang w:eastAsia="zh-CN"/>
                            </w:rPr>
                            <w:fldChar w:fldCharType="separate"/>
                          </w:r>
                          <w:r>
                            <w:rPr>
                              <w:rFonts w:hint="eastAsia"/>
                              <w:sz w:val="36"/>
                              <w:szCs w:val="36"/>
                              <w:lang w:eastAsia="zh-CN"/>
                            </w:rPr>
                            <w:t>1</w:t>
                          </w:r>
                          <w:r>
                            <w:rPr>
                              <w:rFonts w:hint="eastAsia"/>
                              <w:sz w:val="36"/>
                              <w:szCs w:val="36"/>
                              <w:lang w:eastAsia="zh-CN"/>
                            </w:rPr>
                            <w:fldChar w:fldCharType="end"/>
                          </w:r>
                          <w:r>
                            <w:rPr>
                              <w:rFonts w:hint="eastAsia"/>
                              <w:sz w:val="36"/>
                              <w:szCs w:val="36"/>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仿宋_GB2312"/>
                        <w:sz w:val="36"/>
                        <w:szCs w:val="36"/>
                        <w:lang w:eastAsia="zh-CN"/>
                      </w:rPr>
                    </w:pPr>
                    <w:r>
                      <w:rPr>
                        <w:rFonts w:hint="eastAsia"/>
                        <w:sz w:val="36"/>
                        <w:szCs w:val="36"/>
                        <w:lang w:eastAsia="zh-CN"/>
                      </w:rPr>
                      <w:t>—</w:t>
                    </w:r>
                    <w:r>
                      <w:rPr>
                        <w:rFonts w:hint="eastAsia"/>
                        <w:sz w:val="36"/>
                        <w:szCs w:val="36"/>
                        <w:lang w:eastAsia="zh-CN"/>
                      </w:rPr>
                      <w:fldChar w:fldCharType="begin"/>
                    </w:r>
                    <w:r>
                      <w:rPr>
                        <w:rFonts w:hint="eastAsia"/>
                        <w:sz w:val="36"/>
                        <w:szCs w:val="36"/>
                        <w:lang w:eastAsia="zh-CN"/>
                      </w:rPr>
                      <w:instrText xml:space="preserve"> PAGE  \* MERGEFORMAT </w:instrText>
                    </w:r>
                    <w:r>
                      <w:rPr>
                        <w:rFonts w:hint="eastAsia"/>
                        <w:sz w:val="36"/>
                        <w:szCs w:val="36"/>
                        <w:lang w:eastAsia="zh-CN"/>
                      </w:rPr>
                      <w:fldChar w:fldCharType="separate"/>
                    </w:r>
                    <w:r>
                      <w:rPr>
                        <w:rFonts w:hint="eastAsia"/>
                        <w:sz w:val="36"/>
                        <w:szCs w:val="36"/>
                        <w:lang w:eastAsia="zh-CN"/>
                      </w:rPr>
                      <w:t>1</w:t>
                    </w:r>
                    <w:r>
                      <w:rPr>
                        <w:rFonts w:hint="eastAsia"/>
                        <w:sz w:val="36"/>
                        <w:szCs w:val="36"/>
                        <w:lang w:eastAsia="zh-CN"/>
                      </w:rPr>
                      <w:fldChar w:fldCharType="end"/>
                    </w:r>
                    <w:r>
                      <w:rPr>
                        <w:rFonts w:hint="eastAsia"/>
                        <w:sz w:val="36"/>
                        <w:szCs w:val="36"/>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2F40"/>
    <w:rsid w:val="00801AA7"/>
    <w:rsid w:val="01543B6F"/>
    <w:rsid w:val="031B294E"/>
    <w:rsid w:val="037A280B"/>
    <w:rsid w:val="050D20A6"/>
    <w:rsid w:val="06A056BD"/>
    <w:rsid w:val="0B6B3BE2"/>
    <w:rsid w:val="0C620C3C"/>
    <w:rsid w:val="0C8B540D"/>
    <w:rsid w:val="0CE411A0"/>
    <w:rsid w:val="0D7268A4"/>
    <w:rsid w:val="0D9E2040"/>
    <w:rsid w:val="0DB808D4"/>
    <w:rsid w:val="0DBB4193"/>
    <w:rsid w:val="0FF9206A"/>
    <w:rsid w:val="11CB5170"/>
    <w:rsid w:val="128252A6"/>
    <w:rsid w:val="14B55606"/>
    <w:rsid w:val="15203B8B"/>
    <w:rsid w:val="15A26008"/>
    <w:rsid w:val="15D7272E"/>
    <w:rsid w:val="18655EF5"/>
    <w:rsid w:val="197108EC"/>
    <w:rsid w:val="19E03352"/>
    <w:rsid w:val="1A5D4694"/>
    <w:rsid w:val="1CF70977"/>
    <w:rsid w:val="1D2779BC"/>
    <w:rsid w:val="1DE01380"/>
    <w:rsid w:val="200946DE"/>
    <w:rsid w:val="204D5BB9"/>
    <w:rsid w:val="211051DB"/>
    <w:rsid w:val="216342A4"/>
    <w:rsid w:val="21787B15"/>
    <w:rsid w:val="22346580"/>
    <w:rsid w:val="24507CDD"/>
    <w:rsid w:val="265F2A69"/>
    <w:rsid w:val="27D8067E"/>
    <w:rsid w:val="29637E08"/>
    <w:rsid w:val="2B527C3E"/>
    <w:rsid w:val="2E0C70B5"/>
    <w:rsid w:val="2E2D1B92"/>
    <w:rsid w:val="2E660D15"/>
    <w:rsid w:val="2EBF4127"/>
    <w:rsid w:val="2F33717F"/>
    <w:rsid w:val="2F362E7B"/>
    <w:rsid w:val="2F552523"/>
    <w:rsid w:val="2FA56C18"/>
    <w:rsid w:val="30A04BAE"/>
    <w:rsid w:val="323A3B98"/>
    <w:rsid w:val="38F119D1"/>
    <w:rsid w:val="3A8B2716"/>
    <w:rsid w:val="3ABA41D5"/>
    <w:rsid w:val="3B552DA8"/>
    <w:rsid w:val="3B5D2301"/>
    <w:rsid w:val="3BFF5949"/>
    <w:rsid w:val="3CE40DD6"/>
    <w:rsid w:val="3F793F99"/>
    <w:rsid w:val="3FF15048"/>
    <w:rsid w:val="411D192D"/>
    <w:rsid w:val="4451776E"/>
    <w:rsid w:val="44603050"/>
    <w:rsid w:val="446852E3"/>
    <w:rsid w:val="452D6BC0"/>
    <w:rsid w:val="45642731"/>
    <w:rsid w:val="45AA349B"/>
    <w:rsid w:val="46505100"/>
    <w:rsid w:val="46FD12B7"/>
    <w:rsid w:val="48FC3D4B"/>
    <w:rsid w:val="49BC6178"/>
    <w:rsid w:val="4A376D9F"/>
    <w:rsid w:val="4B595CBB"/>
    <w:rsid w:val="4D293A2A"/>
    <w:rsid w:val="4D5B6964"/>
    <w:rsid w:val="4DA05C79"/>
    <w:rsid w:val="4DE555BB"/>
    <w:rsid w:val="4E650DDB"/>
    <w:rsid w:val="502A3C09"/>
    <w:rsid w:val="52625CEF"/>
    <w:rsid w:val="53476519"/>
    <w:rsid w:val="56426BED"/>
    <w:rsid w:val="56660AAA"/>
    <w:rsid w:val="56FA4D06"/>
    <w:rsid w:val="5CEE143B"/>
    <w:rsid w:val="603D0D48"/>
    <w:rsid w:val="63746068"/>
    <w:rsid w:val="651106AA"/>
    <w:rsid w:val="657E6D1F"/>
    <w:rsid w:val="65D44AD6"/>
    <w:rsid w:val="672E44D2"/>
    <w:rsid w:val="69680FCF"/>
    <w:rsid w:val="69B814CD"/>
    <w:rsid w:val="6BC173C7"/>
    <w:rsid w:val="6C474077"/>
    <w:rsid w:val="6E34159E"/>
    <w:rsid w:val="6E697A9C"/>
    <w:rsid w:val="6F385191"/>
    <w:rsid w:val="70277638"/>
    <w:rsid w:val="70984073"/>
    <w:rsid w:val="74563498"/>
    <w:rsid w:val="74A56A93"/>
    <w:rsid w:val="74DE78AF"/>
    <w:rsid w:val="75014596"/>
    <w:rsid w:val="75472BCD"/>
    <w:rsid w:val="75884746"/>
    <w:rsid w:val="75D46672"/>
    <w:rsid w:val="78F406CF"/>
    <w:rsid w:val="79E14B0A"/>
    <w:rsid w:val="79E35D35"/>
    <w:rsid w:val="7A6846F1"/>
    <w:rsid w:val="7A9957CA"/>
    <w:rsid w:val="7B3E27AB"/>
    <w:rsid w:val="7BFF66F3"/>
    <w:rsid w:val="7CE03A9C"/>
    <w:rsid w:val="7CE7625E"/>
    <w:rsid w:val="7E9E60DF"/>
    <w:rsid w:val="7EE15684"/>
    <w:rsid w:val="7FA11B8E"/>
    <w:rsid w:val="7FDB0551"/>
    <w:rsid w:val="7FF30080"/>
    <w:rsid w:val="E4A8E99C"/>
    <w:rsid w:val="F835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outlineLvl w:val="0"/>
    </w:pPr>
    <w:rPr>
      <w:rFonts w:eastAsia="黑体"/>
      <w:kern w:val="44"/>
      <w:sz w:val="32"/>
    </w:rPr>
  </w:style>
  <w:style w:type="paragraph" w:styleId="5">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楷体_GB231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autoSpaceDE w:val="0"/>
      <w:autoSpaceDN w:val="0"/>
    </w:pPr>
    <w:rPr>
      <w:rFonts w:ascii="仿宋_GB2312" w:hAnsi="仿宋_GB2312" w:eastAsia="宋体" w:cs="仿宋_GB2312"/>
      <w:sz w:val="22"/>
      <w:szCs w:val="32"/>
      <w:lang w:val="en-US" w:eastAsia="en-US" w:bidi="ar-SA"/>
    </w:rPr>
  </w:style>
  <w:style w:type="paragraph" w:styleId="3">
    <w:name w:val="Title"/>
    <w:basedOn w:val="1"/>
    <w:next w:val="1"/>
    <w:qFormat/>
    <w:uiPriority w:val="0"/>
    <w:pPr>
      <w:spacing w:before="240" w:after="60"/>
      <w:jc w:val="center"/>
      <w:outlineLvl w:val="0"/>
    </w:pPr>
    <w:rPr>
      <w:rFonts w:ascii="Cambria" w:hAnsi="Cambria" w:cs="Times New Roman"/>
      <w:b/>
      <w:bCs/>
      <w:szCs w:val="32"/>
    </w:rPr>
  </w:style>
  <w:style w:type="paragraph" w:styleId="6">
    <w:name w:val="footer"/>
    <w:basedOn w:val="1"/>
    <w:qFormat/>
    <w:uiPriority w:val="0"/>
    <w:pPr>
      <w:tabs>
        <w:tab w:val="center" w:pos="4153"/>
        <w:tab w:val="right" w:pos="8306"/>
      </w:tabs>
      <w:spacing w:line="240" w:lineRule="atLeast"/>
      <w:jc w:val="left"/>
    </w:pPr>
    <w:rPr>
      <w:sz w:val="18"/>
      <w:szCs w:val="18"/>
    </w:rPr>
  </w:style>
  <w:style w:type="paragraph" w:styleId="7">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2021-08-08T16:41:00Z</dcterms:created>
  <dc:creator>DELL</dc:creator>
  <cp:lastModifiedBy>陶辉</cp:lastModifiedBy>
  <dcterms:modified xsi:type="dcterms:W3CDTF">2022-11-15T12:17:15Z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F44E682BB803421AA4E5E13266004215</vt:lpwstr>
  </property>
</Properties>
</file>