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附表：</w:t>
      </w:r>
    </w:p>
    <w:tbl>
      <w:tblPr>
        <w:tblStyle w:val="3"/>
        <w:tblW w:w="8332" w:type="dxa"/>
        <w:tblInd w:w="0" w:type="dxa"/>
        <w:shd w:val="clear" w:color="auto" w:fill="auto"/>
        <w:tblLayout w:type="fixed"/>
        <w:tblCellMar>
          <w:top w:w="0" w:type="dxa"/>
          <w:left w:w="0" w:type="dxa"/>
          <w:bottom w:w="0" w:type="dxa"/>
          <w:right w:w="0" w:type="dxa"/>
        </w:tblCellMar>
      </w:tblPr>
      <w:tblGrid>
        <w:gridCol w:w="373"/>
        <w:gridCol w:w="1281"/>
        <w:gridCol w:w="1157"/>
        <w:gridCol w:w="2088"/>
        <w:gridCol w:w="777"/>
        <w:gridCol w:w="600"/>
        <w:gridCol w:w="990"/>
        <w:gridCol w:w="379"/>
        <w:gridCol w:w="687"/>
      </w:tblGrid>
      <w:tr>
        <w:tblPrEx>
          <w:shd w:val="clear" w:color="auto" w:fill="auto"/>
          <w:tblCellMar>
            <w:top w:w="0" w:type="dxa"/>
            <w:left w:w="0" w:type="dxa"/>
            <w:bottom w:w="0" w:type="dxa"/>
            <w:right w:w="0" w:type="dxa"/>
          </w:tblCellMar>
        </w:tblPrEx>
        <w:trPr>
          <w:trHeight w:val="720" w:hRule="atLeast"/>
        </w:trPr>
        <w:tc>
          <w:tcPr>
            <w:tcW w:w="8332"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sz w:val="40"/>
                <w:szCs w:val="40"/>
                <w:u w:val="none"/>
              </w:rPr>
              <w:t>2019年新增医疗服务价格项目</w:t>
            </w:r>
            <w:r>
              <w:rPr>
                <w:rFonts w:hint="eastAsia" w:ascii="宋体" w:hAnsi="宋体" w:eastAsia="宋体" w:cs="宋体"/>
                <w:b/>
                <w:i w:val="0"/>
                <w:color w:val="000000"/>
                <w:sz w:val="40"/>
                <w:szCs w:val="40"/>
                <w:u w:val="none"/>
                <w:lang w:eastAsia="zh-CN"/>
              </w:rPr>
              <w:t>审核结果公示</w:t>
            </w:r>
            <w:r>
              <w:rPr>
                <w:rFonts w:hint="eastAsia" w:ascii="宋体" w:hAnsi="宋体" w:eastAsia="宋体" w:cs="宋体"/>
                <w:b/>
                <w:i w:val="0"/>
                <w:color w:val="000000"/>
                <w:sz w:val="40"/>
                <w:szCs w:val="40"/>
                <w:u w:val="none"/>
              </w:rPr>
              <w:t>表</w:t>
            </w: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项目内涵</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除外内容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计价单位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专家论证结果</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骨髓腔内输液</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包括输血</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急性缺血性脑卒中影像评估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急性缺血性脑卒中影像评估系统以患者为中心，通过开展急性缺血性脑卒中的影像学评估，建立起全新的基于影像学的急性缺血性脑卒中评估系统，为患者“个体化”血管再通治疗提供科学依据。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CT核磁及PET影像检查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肝脏瞬时弹性硬度检测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检查类型：肝脏硬度检测。超声探头置于肝脏体表位置，取十次数据平均值，单位以千帕(kPa)来表示。弹性数值越大，表示肝组织硬度值越大。审核结果，录入超声工作站信息系统或人工登记，发送报告。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受控衰减参数肝脏脂肪定量检测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类型：肝脏脂肪变形定量检测。超声探头置于肝脏体表位置，取十次数据平均值，单位为dB/m,变异度IQR在40以下。测值越大，表示脂肪变数值越大。审核结果，录入超声工作站信息系统或人工登记，发送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220600000X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冠状动脉超声心动图检查</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用高频心脏探头对病患冠状动脉开口以及部分可见近端冠状动脉进行扫查，用高清采图器截取诊断图像，将数据传送至超声工作站，由超声诊断医师分析图像后，写下诊断结果，发出超声报告。</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限制六岁以下儿童</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5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放射性药物治疗后剂量监测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核素治疗结束后，对治疗场所的放射性物质的监测与处置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每次住院</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限住院病人、限1个住院周期</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药物基因多态性检测（微测序法）</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每种药物</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6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尿11-脱氢血栓烷B2检测(11dhTxB2/Crogenix)</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脱氢血栓烷B2（11dhTxB2）是体内血栓素A2稳定的代谢物。血栓素A2主要由花生四烯酸通过环氧化酶诱导转化而来，具有极强的致血小板聚集而引起动脉血栓的作用。阿司匹林抗血小板聚集的作用机理即为不可逆地阻断花生四烯酸的代谢，减少血栓素A2的生成，抑制血小板聚集。但由于血栓素A2半衰期过短，不能直接检测，故检测其稳定的代谢终产物-11dhTXB2，可以非常准确的反映机体对阿司匹林的敏感性，评估患者是否存在抵抗（“耐药”），从而指导临床更加精细化制定抗血小板的诊疗方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250103XXX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粪便钙卫蛋白检测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（量子点荧光免疫层析法）</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250203XXX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纤维蛋白单体（FM）检测</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胰岛素样生长因子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化学发光法</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1F497D"/>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250303021X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髓过氧化物酶（MPO）测定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250310XX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锌转运蛋白8抗体测定（化学发光法）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锌转运蛋白8抗体（ZnT8A）是自身免疫糖尿病诊断与预测的一项重要指标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250310XXX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血儿茶酚胺测定</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包含肾上腺素 ，去甲肾上腺素， 多巴胺</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1F497D"/>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诺如病毒检测</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包含诺如病毒I型抗原、诺如病毒II型抗原等型别抗原，检测其中一种计1项</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分枝杆菌快速培养</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类型：各种标本。样本采集，样本签收，标本处理、去污。培养管增菌液及抗杂菌药物添加，接种，孵育，荧光扫描全自动判读结果。审核结果，录入实验室信息系统或人工登记，发送报告；实验室消毒，按规定处理废弃物；接受临床相关咨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62"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葡萄糖-6-磷酸脱氢酶基因突变检测（PCR-反向点杂交法）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PCR-反向点杂交法</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微小核糖核酸microRNA定性检测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样本采集、签收、处理，血清样本的RNA提取，检测，数据分析，质控，审核结果，录入实验室信息系统或人工登记，发送报告。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电刺激颅内电极定位脑功能区及致痫区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电刺激埋植在颅内的电极，同时记录脑电，给患者各种作业，判断对患者皮层高级功能的影响、定位脑功能区；还观察有无脑电图后放电，是否出现癫痫发作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1F497D"/>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7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脑室腹腔分流管体外无创调压术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使用专用的调压仪调整脑室腹腔分流管阀门限压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3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神经抑制电生理检测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抑制电生理P50是反映脑抑制功能的电生理指标,是大脑选择性地对外界刺激进行注意选择加工的过程,过滤无关的刺激,让其中有意义的刺激信息传向更高级中枢。P50是利用听觉刺激测量认知功能感觉控制能力（至少100个刺激）</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5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阴部（阴茎）神经体感诱发电位测定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含阴茎背神经体感诱发电位(DNSEP)、阴茎头体感诱发电位(GPSEP)及尿道海绵体感觉诱发电位（UCSEP）</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阴部（阴茎）神经体感诱发电位是评价周围神经、骶髓马尾神经以及脊髓神经和大脑皮质功能完整性的客观检测方法,是诊断射精功能障碍、神经源性ED的重要证据之一。</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7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直接电刺激脑功能区定位术中监测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颅手术中在大脑表面放置皮层电极，对患者皮层进行逐点电刺激，或直接利用神经探头（刺激器）刺激皮层或皮层下白质，同时记录脑电，给患者各种作业，或观测肌电图运动诱发电位，判断对患者皮层高级功能的影响、定位脑功能区。不含脑电图检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一次性医用神经探头、一次性医用针电极、皮层电极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310208004X-2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垂体激素泵治疗（继日）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遵医嘱调节用量和频率，建立垂体激素输液泵观察表，随时观察输注部位皮肤针眼处有无异常，电量和药量是否充足，管路是否通畅， 有无报警情况，携带是否安全，3天更换注射部位及耗材，输注部位出现红肿、出血、脱出情况立即更换，每班每天需要密切观察并记录。</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3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310208004X-1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垂体激素泵治疗（首日）</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遵医嘱调节用量和频率，建立垂体激素输液泵观察表，随时观察输注部位皮肤针眼处有无异常，电量和药量是否充足，管路是否通畅， 有无报警情况，携带是否安全，3天更换注射部位及耗材，输注部位出现红肿、出血、脱出情况立即更换，每班每天需要密切观察并记录。</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93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眼睑缘深部清洁治疗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含睑缘炎的治疗及螨虫的处理治疗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次/2只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睑缘深度清洁直击眼睑病原微生物生长环境，彻底清除微生物，减轻局部致病菌负荷，清除堆积的致病因子，如毒素、炎症因子，深度清除鳞屑、痂皮、脂栓皮肤碎屑、过敏原等，是预防或者治疗MGD、睑缘炎、BKC、干眼症等疾病的必要治疗之一；此外也降低围手术期感染的可能性，减少术后眼内炎发生的风险</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310401051X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耳石症电动复位治疗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包含水平半规管耳石症治疗、后半规管耳石症治疗、上半规管耳石症治疗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电子面弓髁状突运动轨迹描记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电子运动面弓在口腔咬合疾病中的诊断</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数字化口内扫描</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数字化口内扫描，采集无托槽矫治的牙齿数据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双颌</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声波树脂充填术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7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3105110XX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牙髓血运重建术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口腔手术显微镜下,通过彻底有效的根管消毒,尽量保护牙髓干细胞和根尖乳头干细胞等种子细胞,形成以血凝块为主的再生支架并提供生长因子,最后进行严密的冠方封闭,为干细胞增生和分化提供良好的环境,诱导其分化为牙本质细胞和成骨细胞等,从而促使牙髓再生和牙根继续发</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VELscope荧光口腔癌前病损检测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通过数码照相机获取损伤部位的白光影像以及VELscope自体荧光影像，观察口腔病损区的荧光缺失是否存在，从而判断病损的癌变情况。</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7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甲苯胺蓝口腔癌前病损染色</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患者漱口后，用甲苯胺蓝涂抹于病损组织，3分钟后，再让患者漱口，并用冰醋酸擦抹病损组织，观察染色情况。</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口腔粘膜下局部封闭术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将药物局部封闭于口腔黏膜病损下方</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高流量呼吸湿化治疗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含氧气治疗和湿化治疗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加热呼吸管路套装、鼻塞导管、气管切管接头、面罩转接头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痰诱导采集术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含雾化吸入和振动排痰</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不含采集标本后的镜检与培养</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25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310605XXX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特殊疾病纤维支气管检查治疗</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一次性使用电子支气管镜，对于限定活动性肺结核、艾滋病、有明确的药敏结果的广泛耐药菌感染、涉及公共卫生安全的不明原因肺炎的危重症患者进行快速现场细胞学评价（C-ROSE)和微生物学评价（M-ROSE)。含活检、刷片吸痰、化疗、滴药，包括支气管镜下紧急止血，标本送细胞学和组织学等检查。</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一次性电子支气管内窥镜</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胰腺支架取出术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患者自身疾病已康复或者支架引发排斥、感染、移位等需将支架从体内拔出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ERCP术，十二指肠镜，导丝,括约肌切开刀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6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310606XXX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内镜下胰管碎石取石术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本手术是在十二指肠内镜引导下，行胰管取石，当结石较大时，可经取石网篮碎石后取出。结石经过碎石后，结石破碎得较小，亦可自行排出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ERCP术，十二指肠镜，取石网篮，碎石网篮，导丝，括约肌切开刀，球囊扩张导管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310604XXXX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影像学引导下前肿物穿刺定位术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CT引导下将定位穿刺针插至肺结节部位，为后续胸腔镜手术提供指引。不含影像学引导</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穿刺针，不含影像检查，各种手术。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QT离散度</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皮肤清洁处理，安放电极，完成标准十二导联心电图记录，测量QT间期，根据公式计算校正QT间期和QT离散度。</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植入式心电记录器安置术（含X光影相）</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清洁处理，在胸骨左缘和左胸骨中线第1-4肋间的范围内安放电极，记录不同组合的双极心电图，判断理想植入部位。消毒铺巾，局部麻醉，根据选择的植入部位做切口，制备皮下囊袋，将高妙器放进皮下囊袋后，逐层缝合皮下组织及皮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植入式心电记录器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取出术按拟定价格的20%—50%收取</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310702023X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心腔三维标测术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指使用三维标测系统，为房颤、复杂性心律失常等患者，构建心腔三维图像，明确诊断及指导相关治疗。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电极导管、导引鞘管、房间隔穿刺针、导管套件、体表电极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02"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24小时胃食管反流动态监测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含食管下段PH-阻抗监测以及症状相关性分析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一次性食管PH-阻抗电极探头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每次监测时长为持续24小时，如持续48小时监测加收50%，持续72小时监测加收25%，增加食管上段PH-阻抗加收30%。</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经口内镜环状肌切开术（POEM）</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注射针，热活检钳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98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小儿肠套叠水压灌肠复位术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B超监测下，通过“一次性使用小儿肠套叠灌肠复位包”从患儿肛门内注入生理盐水进行肠套叠精准灌肠复位治疗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一次性使用小儿肠套叠灌肠复位包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1.一次性使用小儿肠套叠灌肠复位包”是此项目必备耗材2.2016年该方法被广东省卫计委列为2016年适宜基层推广技术之一。</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肠壁神经节活检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包括穿刺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310903016*3</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经双气囊小肠镜小肠狭窄切开术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在双气囊小肠镜操作时，对发现的小肠狭窄进行切开治疗，从而解除狭窄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双气囊小肠镜检查，内镜用切开刀，电切治疗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310903016*2</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经双气囊小肠镜小肠狭窄球囊扩张术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在双气囊小肠镜操作时，对发现的小肠狭窄进行球囊扩张治疗，从而解除狭窄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双气囊小肠镜检查，内镜用扩张球囊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粪菌移植术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在内镜辅助下置入给菌管并注入菌液，不含内镜检查费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内镜检查费、给药管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311000044X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膀胱容量压力测定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3112010XX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产程观察</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察患者精神状态，进行精神安慰。管理患者饮食与活动、排尿与排便情况。测血压，脉搏，观察宫缩和胎膜破裂。定时听胎心，摸宫缩，观察宫口扩张和胎头下降，动态观察产程进展。产程中阴道检查或肛门检查，了解宫颈软硬度、厚薄、宫口扩张、确定胎方位及胎头下降情况。含胎心监测及阴道检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进入产程或孕24周以上可以收取，择期剖宫产不可以收取。 </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3112010XX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孕晚期促宫颈成熟术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妊娠晚期促宫颈成熟是在自然临产前通过药物等手段使产程发动，达到分娩的目的，是产科处理高危妊娠常用的手段之一。</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药物、球囊</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脉管瘤腔内药物灌注术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CoHen-Mansfield激越量表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Hen-Mansfield激越量表的英文版最早发表于1986年，用于评定痴呆患者的异常情绪与行为以及药物效用的研究。先后被荷兰、日本、韩国等许多国家的学者和医务人员广泛使用。2001年首次被翻译成中文，随后有研究表明中文版CoHen-Mansfield激越量表具有良好的信效度。目前该量表已在国内各精神科临床及研究中心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Hachinski缺血指数量表（HIS）</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chinski缺血指数量表由Hachinski于1975年编制，以后Rosen等做了修改，称“改良的局部缺血量表”，用于阿尔茨海默病性痴呆和血管性痴呆的鉴别诊断。该量表的优点是操作简单易掌握。目前已在国内外精神科临床及研究中广泛使用。Hachinski 法总分评定： 满分18分；一般≤4分考虑为阿尔兹海默病(AD)，≥7分考虑为血管性痴呆(VD)。</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Liebowitz社交焦虑量表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（Liebowitz Social Anxiety Scale,LSAS）</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Maslach职业倦怠调查普适量表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（Maslach Burnout Inventory General Survey，MBI-GS）</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MoCA量表（蒙特利尔认知评估量表）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适用于轻、中度痴呆检测，在药物临床试验中被广泛用于认知变化的评价。目前该量表已在国内外精神科临床及研究中广泛使用。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5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Sarason考试焦虑量表（Test Anxiety Scale,TAS）</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42"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阿尔茨海默病评定量表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阿尔茨海默病评定量表由Rosen等在1984年编制，适用于轻、中度痴呆检测，在药物临床试验中被广泛用于认知变化的评价。目前该量表已在国内外精神科临床及研究中广泛使用。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老年抑郁评定量表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老年抑郁量表（GDS）是由Brank等人在1982年创制，用于对老年抑郁症状的评估。目前该量表已在国内外精神科临床及研究中广泛使用。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1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临床痴呆评定量表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痴呆评定量表最初由美国Hughes等于1982年制定，1988年Morris完成有效性验证，1993年发表CDR修订版本。其目的是为临床提供一个简便工具，对痴呆易受损功能的完好程度做出评价。它可用来描述痴呆的严重程度，也可用于痴呆的诊断，现已成为AD临床和科研试验尤其是多中心研究中心广泛运用的量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9"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神经精神量表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由Cummings等在1994年编制的由照料者回答的量表，主要评定痴呆患者常见的行为障碍。目前该量表已在国内外精神科临床及研究中广泛使用。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数字广度测验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是韦氏成人智力量表的一部分，主要用于评价被试的注意力和即刻记忆。目前该量表已在国内外精神科临床及研究中广泛使用。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9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睡眠个人信念与态度量表(dysfunctional beliefs and attitudes about sleep，dbas)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谵妄CAM</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用于评价谵妄的发生、发展过程。目前该量表已在国内外精神科临床及研究中广泛使用。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超短脉冲矩形波电刺激抽搐阈值滴定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应用超短脉冲矩形波电刺激滴定技术测定抽搐阈值</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320500009*2X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经导管主动脉瓣置换术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备有除颤器、麻醉机、心电监护的条件下，全身麻醉或者局麻加深度镇静后穿刺股动脉，在血管造影机透视下将人工心脏瓣膜输送至主动脉瓣区打开释放，行心脏造影剂经食道超声心动图评估瓣膜稳定性及工作情况、与周围结构关系处于良好状态后，撤出输送系统后封闭血管完成手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人工瓣膜及输送系统，导引器、扩张器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DSA引导下大脑半球功能测评</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超声高频集成系统加收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指血管及淋巴管切割、凝闭，达到最小热损伤的软组织切割及大血管（直径≥5mm）凝闭操作。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一次性刀头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体表加温治疗</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一次性保温毯</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限手术室用</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330100003*X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椎管内阻滞分娩镇痛</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采用连续硬膜外镇痛、腰-硬联合镇痛、蛛网膜下腔镇痛等方法对可进行阴道分娩试产的产妇降低分娩疼痛,提高分娩质量。内容包括（1）评估产妇病史、体格检查、相关实验室检查；（2）针对产妇情况制定个体化镇痛方案；（3）实施椎管内阻滞等无菌操作；（4）分娩镇痛管理:监测生命体征、VAS疼痛评分和Bromage运动神经阻滞评分；（5）分娩镇痛期间并发症的处理。</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含一次性腰硬联合穿刺包、一次性镇痛泵药盒超过4小时每小时加收150元</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330100005-1*5X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全身麻醉术中唤醒麻醉加收（含气管插管）</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对于需要术中唤醒的全身麻醉患者</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适用于神经外科及脊柱外科神经功能监测下手术的患者</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经脑室大脑半球次全离断术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神经导航下锁孔经脑室大脑半球次全离断术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医用一次性神经探头、一次性不粘双极电凝镊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经脑室大脑半球离断术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神经导航下锁孔经脑室大脑半球离断术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医用一次性神经探头、一次性不粘双极电凝镊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经脑室额叶离断术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神经导航下锁孔经脑室额叶离断术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医用一次性神经探头、一次性不粘双极电凝镊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经脑室颞顶枕离断术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神经导航下锁孔经脑室颞顶枕离断术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医用一次性神经探头、一次性不粘双极电凝镊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提眉美容术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包括经眉上切口、眉切口、眉下切口矫正上睑或者眉的下垂松弛畸形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眼综合美容术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重睑、内外眼角开大、皮肤松弛、臃肿等两项或者多项综合美容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重睑术后畸形矫正术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0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3304050XXX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二氧化碳激光深层巩膜切除术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铺巾，开睑，置手术贴膜。在手术显微镜下做上直肌或角膜缘牵引缝线、结膜瓣，止血，做表层巩膜瓣。调整激光控制器参数，使用二氧化碳激光消融深层巩膜，做巩膜池，打开舒莱姆氏管（Schlemm管）外壁，表层巩膜瓣复位并缝合，结膜瓣缝合，结膜囊涂抹抗菌药物和糖皮质激素眼膏，消毒纱布遮盖</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CLASS手术的先进性：该手术方式在临床上可以代替传统的穿透性小粱切除术，用于治疗原发性开角型青光眼。由于该手术不会像传统抗青光眼手术——小梁切除术穿透前房，所以较传统手术方式定位准确，手术创伤小，手术精度高，并发症少，患者安全性提高。</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有晶体眼人工晶体植入术（ICL）</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包含手术显微镜使用，在手术镜下前房穿刺，注射粘弹剂，植入后房型人工晶体，冲洗前房粘弹剂，前房注射头孢呋辛钠注射液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人工晶体，粘弹剂，一次性角膜穿刺刀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适用于有晶体眼的后房型人工晶体植入术治疗近视及散光，ICL手术已逐渐成为一种主流的近视散光矫正手术，对于角膜厚度薄，角膜形态不佳，近视散光度数过高等不适合接受角膜激光手术的患者。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鼻头肥大美容术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鼻头缩小</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不包括耳软骨或肋软切取术手术费用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鼻翼缩小术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鼻翼肥厚缩小</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牙龈隧道术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以显微牙周外科操作为基础达到软、硬组织增量微创手术的目的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胃底折叠术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游离胃底后用胃底完全或部分包绕食管下段，并缝到食管右侧小弯侧，在食管下段贲门区域形成抗反流折叠瓣，同时将抗反流折叠瓣固定于膈肌上。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331505XXX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胫骨髁间嵴骨折复位内固定术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指利用膝关节镜内窥及操作系统，对胫骨髁间嵴骨折进行撬拨等复位并用空心螺钉等内固定物固定而维持复位。</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关节镜下胫骨髁间嵴骨折复位内固定术可以实现微创操作，节约了手术时间，促进了伤口愈合，缩短手术住院时间，提高术后满意率</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跗骨窦清理术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指利用关节镜内窥及操作系统，对跗骨窦内病理组织进行刨削清理及射频电刀烧灼。</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关节镜下跗骨窦清理术可以实现微创操作，节约了手术时间，促进了伤口愈合，缩短手术住院时间，提高术后疗效及患者满意度。</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胫骨横向骨搬运术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于胫骨骨皮质开窗后利用微型外固定架系统固定并实现开窗骨皮质的反复横向搬移。</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本术式适用于糖尿病足及下肢血管闭塞性脉管炎，促进下肢血管再生与再通及促进糖尿病足难愈合创面的愈合。</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331501070X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脊柱全椎体切除术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含该节段椎板切除、椎管扩大减压</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每增加一个椎体加收50%</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马蹄内翻足肌腱转位术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通过对足部不同组肌腱的转位，加强其他肌腱功能或重建肌腱止点达到平衡足的跖屈和背伸的静态平衡。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本术式适用于马蹄内翻足病人通过足部肌腱的转位来到达跖屈和背伸的平衡，重新获得良好的足的静态位置。</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蝶腭神经节针刺法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针刺刺激蝶腭神经节治疗头面耳鼻等疾病。</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蝶腭神经节其他刺激方法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筋膜粘连手法松解术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正骨、关节、筋膜，含各类中医手法。</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长圆针疗法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中药特殊调配（鲜药加工调配）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200毫升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中药特殊调配（散剂调配）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中药特殊调配（中药药囊调配）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2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多光谱眼底检查（MSI）</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应用多光谱眼底检查(MSI)，依次采集多张眼底不同层次的冠状面图像，打印报告单，人工分析结果，形成图文病例报告。相关消耗：打印报告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多光谱眼底成像是利用多光谱成像技术（Multispectral Imaging, MSI）评估视网膜光谱吸收功能的变化，发现和诊断视网膜疾病，同时根据光的亮度变化和折射异常，显示眼底组织冠状面（En Face）的形态学改变。</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480000012X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实测经络针灸疗法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指通过专利仪器《实测经脉定位仪》在骨度法基础上再精准测经脉穴位，通过“经络辨证、定经取穴、经上一针、辨证吸氧”而达到防病治病。</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刺经络、吸氧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中药特殊调配（散剂）</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含药材烘干、粉碎、过筛、包装</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中药特殊调配（颗粒剂）</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含药材提取、制粒、干燥、包装</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中药特殊调配（酒剂）</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含药材浸泡、过滤、包装</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小儿推拿疗法</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含小儿捏脊、小儿内科推拿、手指点穴等相关内容。</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胸腰椎骨折过伸牵引弹性按压复位术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含过伸牵引、弹性按压、骨折手法复位等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每椎体</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关节粘连液压扩张松解术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每关节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关节僵硬手法松动治疗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含各种手法，指髋、膝、踝、足；肩、肘、腕、掌指关节部位的关节僵硬手法松动治疗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每部位30分钟/次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中药特殊调配（洗剂调配）</w:t>
            </w:r>
          </w:p>
        </w:tc>
        <w:tc>
          <w:tcPr>
            <w:tcW w:w="208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中药特殊调配（油剂调配）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中药特殊调配（酊剂调配）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小夹板制作费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中医手法治疗正骨术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含中医各种手法正骨治疗。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30分钟/次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中医整合修订项目</w:t>
            </w: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中医软组织手法治疗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含中医各种手法软组织治疗。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30分钟/次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中医整合修订项目</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营养治疗与监测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指具有专业资质的营养(医)师对患者实施营养治疗，含营养治疗方案的制定（治疗膳食、肠内营养、肠外营养），营养方案的实施及营养监测过程。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营养液、药物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营养学整合修订项目</w:t>
            </w: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通过特定的营养风险筛查量表［营养风险筛查2002（NRS2002）或营养不良通用筛选工具（MUST）或简易营养评估（MNA）或儿童筛查表等］对患者进行营养风险筛查，识别患者是否存在营养不足或营养不足的风险。含营养风险筛查量表及报告。每周收费不超过一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营养学整合修订项目</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有营养风险的患者进行营养综合评定，依据膳食调查、体格检查、实验室检查、病史、营养史、用药史等情况，对患者的应激程度、炎症反应、代谢水平、器官功能、心理状况进行多维度分析，并出具报告。每周不超过一次。营养综合评定是营养不良三级诊断的第三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营养干预方案制定、食谱制定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营养学整合修订项目</w:t>
            </w: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个体化营养指导及食谱制定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进行膳食结构评估和营养成分摄入分析（含能量、蛋白质、碳水化合物、脂肪、维生素、矿物质及膳食纤维的分析报告）；并进一步提供营养相关性疾病（慢性病、营养缺乏性疾病等）个性化食谱或营养指导。包括膳食结构分析、膳食建议、指导特医食品和膳食补充剂的使用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营养学整合修订项目</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肠屏障功能测定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指具有专业资质的营养技师根据为危重症患者或围手术期等各类疾病人群进行肠屏障功能血清标志物的测定（肠粘膜损伤标志物：二胺氧化酶；肠粘膜通透性标志物：D-乳糖； 肠道菌群移位标志物：细菌脂多糖LPS）</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营养学整合修订项目</w:t>
            </w:r>
          </w:p>
        </w:tc>
      </w:tr>
      <w:tr>
        <w:tblPrEx>
          <w:shd w:val="clear" w:color="auto" w:fill="auto"/>
          <w:tblCellMar>
            <w:top w:w="0" w:type="dxa"/>
            <w:left w:w="0" w:type="dxa"/>
            <w:bottom w:w="0" w:type="dxa"/>
            <w:right w:w="0" w:type="dxa"/>
          </w:tblCellMar>
        </w:tblPrEx>
        <w:trPr>
          <w:trHeight w:val="7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营养状况评估与饮食宣教</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医师、营养（医）师或护士对根据营养风险筛查判断出有营养风险或需要营养治疗的患者进行营养综合评定，含人体测量和体格检查，了解患者机体的肌肉、脂肪等营养情况，以及营养缺乏病的表现，并结合病史、营养史、用药史、膳食结构评估、实验室检查结果对患者的营养状况进行综合评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门诊病人、住院病人、疗养院病人和社康就诊人群。正确的营养综合评定是科学合理营养干预的前提，也是评价营养干预效果的重要手段和依据。为患者提供各种营养相关性疾病(慢性病、营养缺乏性疾病等)的个体化营养治疗原则的宣教和指导，可有效减少慢性疾病及其并发症的危害、同时改善肿瘤等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33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营养状况评估与咨询</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具有专业资质的医师、营养（医）师或护士对根据营养风险筛查判断出有营养风险或需要营养治疗的患者进行营养综合评定，含人体测量和体格检查，了解患者机体的肌肉、脂肪等营养情况，以及营养缺乏病的表现，并结合病史、营养史、用药史、膳食结构评估、实验室检查结果对患者的营养状况进行综合评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营养筛查、营养治疗、身体成份分析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一般门诊病人、住院病人、疗养院病人和社康就诊人群。正确的营养综合评定是科学合理营养干预的前提，也是评价营养干预效果的重要手段和依据。</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营养状况评估与咨询</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营养门诊具有相应资质的营养师，调查基本膳食状况、疾病状况、用药史等(含婴儿母乳喂养状况)，计算每日膳食能量及营养素摄入量，测定能量消耗，测量人体身高、体重、腰围、臀围、上臂围、生化实验室检查等，计算体重指数，进行综合营养评定，并对患者的咨询进行解答。</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此项费用不得与诊查费同时收取</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个体化营养干预体重管理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对肥胖症</w:t>
            </w:r>
            <w:bookmarkStart w:id="0" w:name="_GoBack"/>
            <w:bookmarkEnd w:id="0"/>
            <w:r>
              <w:rPr>
                <w:rFonts w:hint="eastAsia" w:ascii="宋体" w:hAnsi="宋体" w:eastAsia="宋体" w:cs="宋体"/>
                <w:i w:val="0"/>
                <w:color w:val="000000"/>
                <w:kern w:val="0"/>
                <w:sz w:val="20"/>
                <w:szCs w:val="20"/>
                <w:u w:val="none"/>
                <w:lang w:val="en-US" w:eastAsia="zh-CN" w:bidi="ar"/>
              </w:rPr>
              <w:t>、超重以及消瘦等需要进行体重管理的患者的生活方式、饮食结构、膳食模式、心理行为等多方面进行非药物干预的营养干预保健健康管理，以促进体内能量代谢而达到降脂减肥或者增长肌肉等目的。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个体化营养食谱制定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指具有专业资质的营养(医)师根据患者病情编制个体化的食谱，并出具食谱。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指具有专业资质的营养医（技）师，为住院患者提供各种营养相关性疾病（慢性病、营养缺乏性疾病等）个性化营养指导。包括全日膳食营养推荐摄入量、膳食结构方案、特医食品和膳食补充剂的使用等方案。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指通过专业工具，由专业资质的营养(医)师为患者进行膳食结构评估、营养成分摄入分析。营养分析含能量、蛋白质、碳水化合物、脂肪、维生素、矿物质及膳食纤维的分析报告。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医学营养治疗及监测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指具有专业资质的营养(医)师根据营养风险筛查和营养评定结果对判断出有营养风险或营养不良的患者开展实施营养与饮食治疗，含个体化营养治疗方案(如治疗膳食、肠内营养、肠外营养)。</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根据营养风险筛查判断出有营养风险的患者进行营养综合评定，包括膳食调查、体格检查等了解患者机体的肌肉、脂肪等营养情况，以及营养缺乏病的表现，并结合病史、营养史、用药史、膳食结构评估、实验室检查结果对患者的营养状况进行综合评定，并出具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营养干预方案制定、食谱制定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48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个体化营养干预体重管理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肥胖症、超重以及消瘦等需要进行体重管理的患者的生活方式、饮食结构、膳食模式、心理行为等多方面进行非药物干预的营养干预保健健康管理，以促进其体内膳食营养吸收或能量代谢，从而达到降脂减肥或者增长肌肉等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可涉及院内内分泌科、心血管内科、呼吸科、妇产科、男性生殖、体检中心、肿瘤科等多个相关科室患者。可有效减少慢性疾病及其并发症的危害、同时改善肿瘤等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个体化营养干预体重管理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肥胖症、超重以及消瘦等需要进行体重管理的患者的生活方式、饮食结构、膳食模式、心理行为等多方面进行非药物干预的营养干预保健健康管理，以促进其体内膳食营养吸收或能量代谢，从而达到降脂减肥或者增长肌肉等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身体成分分析、营养代谢功能测试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7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个体化营养干预体重管理费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对肥胖症、超重以及消瘦等需要进行体重管理的患者的生活方式、饮食结构、膳食模式、心理行为等多方面进行非药物干预的营养干预保健健康管理，以促进体内能量代谢而达到降脂减肥或者增长肌肉等目的。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或住院部单纯性肥胖或超重人群，肥胖导致的脂肪肝，高血脂、高血压、高血糖，多囊卵巢综合症、呼吸睡眠暂停综合症、肥胖导致不孕不育等人群。以及神经性厌食症、肿瘤恶液质、肌肉减少症、消瘦患者。此项目可涉及院内多个相关科室患者。可有效减少慢性疾病及其并发症的危害、同时改善肿瘤等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指经过具有专业资质的营养（医）师根据患者病情编制个体化的食谱，并出具食谱。不含营养评估、医学营养治疗。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38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个体化营养食谱制定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指具有专业资质的医师、营养(医)师根据患者病情编制个体化的食谱，并出具食谱。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适用于一般门诊病人、住院病人、疗养院病人和社康就诊人群。根据患者病情制定出个体化的食谱，是营养干预可行性的前提，也是评价营养干预效果的重要参考依据。</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36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个体化营养食谱制定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指具有专业资质的营养(医)师根据患者病情编制个体化的食谱，并出具食谱。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适用于一般门诊病人、住院病人、疗养院病人和社康就诊人群。根据患者病情制定出个体化的食谱，是营养干预可行性的前提，也是评价营养干预效果的重要参考依据。</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个体化营养食谱制定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指具有专业资质的医师或营养(医)师根据患者病情编制个体化的食谱，并出具食谱。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48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指具有专业资质的医师、营养（医）师，为患者提供各种营养相关性疾病（慢性病、营养缺乏性疾病等）个性化营养指导。含指导膳食、特医食品和膳食补充剂的使用等。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门诊营养咨询、特殊医学用途配方食品和膳食补充剂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为患者提供各种营养相关性疾病(慢性病、营养缺乏性疾病等)的个体化营养治疗原则的宣教和指导，可有效减少慢性疾病及其并发症的危害、同时改善肿瘤等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指具有专业资质的营养（医）师，为患者提供各种营养相关性疾病（慢性病、营养缺乏性疾病等）个体化营养指导。含全日膳食营养推荐摄入量、膳食结构方案，特医食品和膳食补充剂的使用等方案。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指具有专业资质的医师、营养（医）师，为患者提供各种营养相关性疾病（慢性病、营养缺乏性疾病等）个性化营养指导。含指导膳食、特医食品和膳食补充剂的使用等。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门诊营养咨询、特殊医学用途配方食品和膳食补充剂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45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指由具有专业资质的医师、营养(医)师或护士为患者进行膳食结构评估和营养成分摄入分析。营养分析含能量、蛋白质、碳水化合物、脂肪、维生素、矿物质及膳食纤维的分析报告。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可及时评价患者膳食结构的特点和不足之处，并根据中国营养学会推荐的膳食指南进行膳食结构调整，可有效减少慢性疾病及其并发症的危害、同时改善患者的生存质量，减轻患者的痛苦和总体经济费用负担。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指通过专业工具，由专业资质的营养（医）师进行膳食结构评估、营养成分摄入分析。营养分析含能量、蛋白质、碳水化合物、脂肪、维生素、矿物质及膳食纤维的分析报告。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指由具有专业资质的医师、营养(医)师或护士为患者进行膳食结构评估和营养成分摄入分析。营养分析含能量、蛋白质、碳水化合物、脂肪、维生素、矿物质及膳食纤维的分析报告。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医学营养治疗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根据营养风险筛查和营养评定判断出有营养风险或营养不良的患者进行营养与饮食治疗。含个体化营养治疗方案(如治疗膳食、肠内营养、肠外营养）。不含膳食、营养制剂、营养筛查和综合营养评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可经口进食或者各类管饲途径实施</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31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医学营养治疗及监测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具有专业资质的医师、营养(医)师根据营养风险筛查和营养评定结果对判断出有营养风险或营养不良的患者开展实施营养与饮食治疗，含个体化营养治疗方案的制定（如治疗膳食、肠内营养、肠外营养）以及营养治疗并发症的监测过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膳食材料和肠外、肠内营养制剂。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可有效减少各类危重症患者或有营养风险的患者的不良预后和临床症状，同时改善患者的生存质量，减轻患者的痛苦和总体经济费用负担。</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医学营养治疗及监测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医师或营养(医)师根据营养风险筛查和营养评定结果对判断出有营养风险或营养不良的患者开展实施营养与饮食治疗，含个体化营养治疗方案的制定（如治疗膳食、肠内营养、肠外营养）以及营养治疗并发症的监测过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通过各种特定营养风险筛查量表【营养风险筛查2002（NRS2002）或营养不良通用筛选工具（MUST）或简易营养评估（MNA）或儿童筛查表等】筛查患者是否存在影响临床结局的营养风险，含营养风险筛查量表及报告。每周收费不超过一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适用于一般门诊病人、住院病人、疗养院病人和社康就诊人群。该项目便于早期识别存在营养风险的人群。</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包含主观全面评估（SGA）、营养不良通用筛选工具（MUST）、简易营养评估（MNA）、营养风险指数（NRI）以及营养风险筛查2002（NRS2002）等。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一般门诊病人、住院病人、疗养院病人和社康就诊人群。该项目便于早期识别存在营养风险的人群。</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营养干预治疗（基准型）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包括特制匀浆膳、典型的要素型肠内营养制剂、整蛋白型肠内营养制剂和疾病特异性肠内营养制剂，以及各类组件膳，以满足患者普通饮食以外的不足能量和营养素的需求或者作为维持生命所需营养素的全部来源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肠内营养袋，肠内营养液配制费，营养（医）师对患者开展营养风险筛查、营养评估和营养诊疗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40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营养干预治疗费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特制匀浆膳或特殊医学用途配方食品作为营养补充手段，对婴幼儿期生长发育不良、膳食摄入严重不足或乳糖不耐受的患儿，或因食物蛋白质不耐受、苯丙氨酸酮尿症等先天性遗传性疾病等、各种原因所致吞咽障碍、肿瘤以及围手术期、危重症患者等疾病人群进行营养干预治疗。  含各类组件膳、特制匀浆膳或整蛋白型肠内营养制剂，以满足患者普通饮食所不能满足的部分能量和营养素需求，或者作为维持生命所需营养素的全部来源。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肠内营养袋，肠内营养液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适用于NRS-2002评分≥3分，且自然饮食摄入量达不到自身病情所需每日能量推荐摄入量60% 的患者，应考虑实施口服或者管饲营养补充特殊医学用途配方食品进行肠内营养治疗。</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62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营养干预治疗费-基准型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用特制匀浆膳或特殊医学用途配方食品作为营养补充手段，对婴幼儿期生长发育不良、膳食摄入严重不足或乳糖不耐受的患儿，或因食物蛋白质不耐受、苯丙氨酸酮尿症等先天性遗传性疾病等、各种原因所致吞咽障碍、肿瘤以及围手术期、危重症患者等疾病人群进行营养干预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肠内营养袋，肠内营养液配制费，营养（医）师对患者开展营养风险筛查、营养评估和营养诊疗等费用。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是肠内营养治疗的重要措施之一，可以帮助患者及时解决营养不良并改善营养风险导致的不良临床预后和结局。可以有效的减少手术后并发症的发生、促进术后伤口的愈合、提高患者放疗、化疗的耐受性，促进患者康复、改善患者的生存质量、降低总体医疗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62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营养干预治疗费-要素型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用特制匀浆膳或特殊医学用途配方食品作为营养补充手段，对婴幼儿期生长发育不良、膳食摄入严重不足或乳糖不耐受的患儿，或因食物蛋白质不耐受、苯丙氨酸酮尿症等先天性遗传性疾病等、各种原因所致吞咽障碍、肿瘤以及围手术期、危重症患者等疾病人群进行营养干预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肠内营养袋，肠内营养液配制费，营养（医）师对患者开展营养风险筛查、营养评估和营养诊疗等费用。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殊医学用途配方食品是肠内营养治疗的重要措施之一，可以帮助患者及时解决营养不良并改善营养风险导致的不良临床预后和结局。可以有效的减少手术后并发症的发生、促进术后伤口的愈合、提高患者放疗、化疗的耐受性，促进患者康复、改善患者的生存质量、降低总体医疗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6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根据营养风险筛查判断出有营养风险或需要营养治疗的慢性病患者进行营养综合评定，含人体测量和体格检查，了解患者机体的肌肉、脂肪等营养情况，以及营养缺乏病的表现，并结合病史、营养史、用药史、膳食结构评估、实验室检查结果对患者的营养状况进行综合评定。不含营养筛查、营养治疗、身体成份分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营养干预治疗（要素型、疾病特异性或组件型）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包括特制匀浆膳、典型的要素型肠内营养制剂、整蛋白型肠内营养制剂和疾病特异性肠内营养制剂，以及各类组件膳，以满足患者普通饮食以外的不足能量和营养素的需求或者作为维持生命所需营养素的全部来源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肠内营养袋，肠内营养液配制费，营养（医）师对患者开展营养风险筛查、营养评估和营养诊疗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个体化营养干预体重管理费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对肥胖症、超重以及消瘦等需要进行体重管理的患者的生活方式、饮食结构、膳食模式、心理行为等多方面进行非药物干预的营养干预保健健康管理，以促进体内能量代谢而达到降脂减肥或者增长肌肉等目的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指通过专业工具，由专业资质的营养(医)师为患者进行膳食结构评估、营养成分摄入分析。营养分析含能量、蛋白质、碳水化合物、脂肪、维生素、矿物质及膳食纤维的分析报告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医学营养治疗及监测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根据营养风险筛查和营养评定结果对判断出有营养风险或营养不良的患者开展实施营养与饮食治疗，含个体化营养治疗方案的制定如治疗膳食、肠内营养、肠外营养)以及营养治疗并发症的监测过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膳食材料、肠外、肠内营养制剂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包含主观全面评估（SGA）、营养不良通用筛选工具（MUST）、简易营养评估（MNA）、营养风险指数（NRI）以及营养风险筛查2002（NRS2002）等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120806XXX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技）师，为住院患者提供各种营养相关性疾病（慢性病、营养缺乏性疾病等）个性化营养指导。包括全日膳食营养推荐摄入量、膳食结构方案、个体化餐单、营养品选择和使用等方案。高级专家收费可增加50%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门诊营养咨询；特殊医学用途配方食品和膳食补充剂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2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120807XXX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根据营养风险筛查判断出有营养风险的患者进行营养综合评定，包括膳食调查、体格检查等了解患者机体的肌肉、脂肪等营养情况，以及营养缺乏病的表现，并结合病史、营养史、用药史、膳食结构评估、实验室检查结果对患者的营养状况进行综合评定，并出具报告。耗时：0.5hr/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营养干预方案制定、食谱制定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120808XXX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个体化营养食谱制定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指具有专业资质的营养(医)师根据患者病情编制个体化的食谱，并出具食谱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120809XXX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肠屏障功能测定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指具有专业资质的营养技师根据为危重症患者或围手术期等各类疾病人群进行肠屏障功能血清标志物的测定（肠粘膜损伤标志物：二胺氧化酶；肠粘膜通透性标志物：D-乳糖； 肠道菌群移位标志物：细菌脂多糖LPS）</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个体化营养食谱</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经过具有专业资质的营养（医）师根据患儿病情编制个体化的食谱，并出具食谱</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专业资质的营养（医）师为患儿提供各种营养相关性疾病个体化营养指导方案，包括全日膳食推荐摄入量、膳食结构方案、特医食品和膳食补充剂的使用等方案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通过专业工具,由专业资质的营养（医）师进行膳食结构评估、营养成分摄入分析。营养分析含能量、蛋白质、碳水化合物、脂肪、维生素、矿物质及膳食纤维的分析报告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医学营养治疗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专业资质的营养（医）师对根据营养风险筛查和营养评定判断出有营养风险或营养不良的患儿进行营养及饮食治疗。含个体化营养治疗方案（如治疗膳食、肠内营养、肠外营养）。</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膳食、营养制剂、营养筛查和综合营养评定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通过各种特定营养风险筛查表（NRS2002或MUST 或儿童筛查表等）筛查患儿是否存在影响临床结局的营养风险，含营养风险筛查表及报告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限每周收费不超过1次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营养(医)师根据营养风险筛查判断出有营养风险或需营养治疗对患儿进行营养综合评定，含人体测量和体格检查，并结合病史、营养史、用药史、膳食结构评估、实验室检查结果对患儿的营养状况进行综合评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营养筛查、营养治疗、身体成分分析仪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采用专业量表操作，包括营养风险筛查2002（NRS2002）、主观全面评估（SGA）、营养不良通用筛选工具（MUST）、简易营养评估（MNA）及营养风险指数（NRI）等。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修改整合至114-118项内</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420000005-9X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踝软组织损伤及踝关节错缝整复固定术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指通过松解足踝肌肉，整复错缝踝关节骨骼，纠正骨骼对位不良，恢复踝关节正常解剖结构，再用普通绷带施以“8”字固定对扭伤踝关节进行加压包扎止血固定。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足踝肌肉松解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缩短疗程，固定后正常走路，无需卧床休息。</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修改为“中医软组织手法治疗”</w:t>
            </w: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420000005-9*1X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踝软组织损伤及踝关节错缝整复固定术(陈旧性关切错鏠加收50％)</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足踝肌肉松解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修改为“中医软组织手法治疗”</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骨盆矫正手法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理筋、骨盆矫正</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修改为“中医手法治疗正骨术”</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小儿脊柱侧弯矫正整复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含理筋、正骨整复、调曲矫正</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修改为“中医手法治疗正骨术”</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脊柱关节病棍点理筋术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含评估及棍点理筋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修改为“中医软组织手法治疗”</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柔性正骨术（各部位）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按头颈、胸椎、腰椎、骨盆，腿膝踝等部位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肌肉、韧带、筋膜等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含摸、接、端、提、推、拿、按、摩</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修改为“中医手法治疗正骨术”</w:t>
            </w: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柔性正骨术（次/全身）</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次/全身</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含摸、接、端、提、推、拿、按、摩</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修改为“中医手法治疗正骨术”</w:t>
            </w: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结核分枝杆菌rpoB基因和突变检测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检测结核分枝杆菌DNA及利福平耐药基因突变</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辅助呼吸支持治疗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含吸氧</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加热呼吸管路套装、鼻塞导管、气管切管接头、面罩转接头、药品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药师门诊诊查费（高级职称）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药师为门诊患者提供合理用药咨询服务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药师门诊诊查费（高级职称以下）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药师为门诊患者提供合理用药咨询服务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110200008X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药事服务费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处方审核、药品调配、核对及交付药品，用药指导，药品损耗、管理</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每处方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住院：10元/日</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120100018X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跌倒风险评估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袋鼠式护理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协助，指导产妇完成袋鼠式护理全过程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仅限于新生儿科</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呼气相正压震荡技术辅助排痰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指使用呼气相正压震荡技术辅助自主咳嗽排痰的治疗，指导患者有效自主咳痰</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呼吸训练器（郑氏呼吸康复排痰阀）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气相正压震荡辅助排痰，在呼气相提供呼气相阻力达到更好的雾化给药治疗、排痰、锻炼呼吸肌肉提高咳嗽能力。再辅助以全身运动的呼吸康复，可以提高疗效，增进医患和谐关系，也至少减少患者住院天数1天，减少医疗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特殊静脉通道维护</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指测量臂围、导管长度、冲管封管、更换敷料、消毒接头及更换接头。含PICC、CVC、输液港维护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特殊静脉通道维护</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含测量臂围，导管长度、冲管封管、更换敷料、消毒接头及更换接头。指PICC、中线导管（中等长度导管）、CVC、透析导管、输液港维护。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一次性使用植入式给药装置留置针（输液港专用针）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不同时收取不含DEPH输液器具、动静脉置管护理费用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吞咽障碍康复护理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吞咽障碍评估、吞咽障碍康复锻炼、饮食指导（进食方式、量、性状）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重症病人外出检查护理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适用于气管插管或气管切开或是无创呼吸机危重患者的外出检查。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一次性吸痰管，一次性转运呼吸管路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重症病人外出检查。重症病人因病情需要，外出做CT，MR等检查。</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PICC导管修剪术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根据导管受损部位或脱管程度修剪（含更换的延长管）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拔除动脉穿刺管</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包括桡动脉、股动脉、足背动脉置管拔除，包含IABP、各种血管介入术后动脉拔管</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特殊加压器具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根据患者实际病情需要，拔除留置的动脉穿刺管，包括桡动脉穿刺管，股动脉穿刺管等。</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经外周静脉置入中线导管（中等长度导管）术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经外周静脉置入中线导管，含深静脉穿刺费、透明贴膜、注射器，不含中线导管及超声引导费用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中线导管（中等长度导管）、超声引导、深静脉穿刺术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静脉导管静脉炎处理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经外周静脉置入中线导管，含深静脉穿刺费、透明贴膜、注射器，不含中线导管及超声引导费用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静脉导管异位调整术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静脉导管带管期间异位到颈内静脉、无名静脉、锁骨下静脉、腋静脉或其它静脉，采用特殊方法进行处理。不含影像学的费用。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输液外渗封闭注射法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输液外渗后使用药物对外渗处及周围皮肤进行封闭注射（不含药物，含注射器）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药物（拮抗剂）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特殊静脉通道维护</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特殊静脉通路维护</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对患者进行测量基础臂围、导管长度、冲封管、更换敷料、消毒及更换接头。含PICC、中期导管及CVC、输液港维护，含冲封管盐水、透明敷贴、预充式导管冲洗器、无针密闭式输液接头、一次性注射器、中心静脉置管护理套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一次性使用植入式给药装置留置针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心电图引导中心静脉导管定位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采用血管专用监护仪进行中心静脉置管术，含PICC置管和输液港置入术，不含超声引导、深静脉穿刺费和中心静脉导管费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中心静脉穿刺置管术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中线导管置入术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患者病情、合作程度及穿刺血管情况等，选择合适长度的导管，评估并选择穿刺部位，皮肤消毒，无菌注射器预冲导管，静脉穿刺，送导管至预期位置（导管尖端不超过腋静脉），撤导丝，抽回血并冲管并正压封管.无菌敷料固定.不含超声引导。</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中心静脉导管复通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透明敷贴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中心静脉导管复通术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采用特殊方式和特殊药物对堵管的中心静脉导管进行复通处理（含三通接头、注射器、贴膜和观察，不含药物）</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溶栓使用的药物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中心静脉导管异位调整术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中心静脉导管异位到颈静脉、腋静脉或其他静脉，采用特殊手法进行处理</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影像学检查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膀胱测压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安全有效地测量出患者的膀胱压力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膀胱测压器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适用于需要检测腹腔压力的病人。通过测量膀胱压力，间接反映患者腹腔压力，了解患者腹部疾病变化</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神志瞳孔观察</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每小时观察神志瞳孔变化</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用于脑卒中、颅脑损伤患者，间接反映患者颅内压变化，了解患者颅内疾病变化</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121900002X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静脉血栓风险评估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静脉血栓风险评估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含量表评估和病情观察</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1309000XX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PAC咨询</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通过PAC咨询和随访，重复流产率下降，医疗纠纷减少，病人满意度提高</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210200****1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磁共振引导下聚焦超声子宫肌瘤和子宫腺肌瘤消融治疗（肿瘤直径＞5cm）加收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使用实时磁共振成像技术引导，控制和监测高强度聚焦超声波，无创治疗软组织肿瘤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磁共振引导下聚焦超声子宫肌瘤和子宫腺肌瘤消融治疗（肿瘤直径≤5cm）</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使用实时磁共振成像技术引导，控制和监测高强度聚焦超声波，无创治疗软组织肿瘤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肿瘤直径小于或等于5cm为一个计价单位，超过5cm加收3000元/次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肌腱彩色多普勒超声检查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用彩色多普勒超检查肌腱是否有炎症、损伤、肿瘤。作出诊断报告，图文报告。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每条肌腱</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肌肉彩色多普勒超声检查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用彩色多普勒超检查肌肉是否有炎症、损伤、肿瘤。作出诊断报告，图文报告。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韧带彩色多普勒超声检查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用彩色多普勒超检查韧带是否有炎症、损伤、肿瘤。作出诊断报告，图文报告。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每条韧带</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神经彩色多普勒超声检查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用彩色多普勒超检查神经是否有炎症、损伤、肿瘤。作出诊断报告，图文报告。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每条神经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220302012</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临床操作的彩色多普勒超声引导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次改为每半小时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220302012*1X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临床操作的彩色多普勒超声引导（超过半小时加收）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每半小时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超声引导下操作计时。</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240700004</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高强度精确聚集超声热消融肿瘤治疗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使用高强度精确聚焦超声热消融设备将靶组织一次性整块完全热消融的治疗。定标器检测换能器输出能量，制备超声耦合介质，在麻醉或镇静镇痛下，安放封水装置，皮肤脱气，固定病人，成像系统定位病灶，应用计算机辅助治疗计划系统（TPS）获得治疗剂量分布和给予方式。照射中，当B超显示靶区灰度增加到一定值或MRI温度图显示≥60度，停止照射。消融后立刻根据超声灰度增区域或增强MRI的无灌注区，评估消融体积。四周内可根据增强MRI或CT、放射性核素显像或超声造影确定消融的体积。含术中超声实时监控。不含术中监护麻醉、造影、治疗前后立即的MRI扫描和增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麻醉、术中造影及药物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肿瘤直径＜3cm，收取8000元；肿瘤直径3cm-5cm，加收2000元；肿瘤直径＞5cm且＜8cm，加收4000元，肿瘤直径≥8cm，加收6000元；两个及两个以上属于多发肿瘤，每增加一个肿瘤，增加收费20%。</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药物基因多态性态性检测（荧光PCR法）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每位点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250103007X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粪便钙卫蛋白定量检测(免疫荧光法)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纤维蛋白单体（FM）检测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中性粒细胞载脂蛋白（HNL）定量检测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类型：血清。样本采集、签收、处理，检测样本，审核结果，录入实验室信息系统或人工登记，发送报告；按规定处理废弃物；接受临床相关咨询。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人CK18-M30/M65检测（酶联免疫吸附法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250309XXX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红细胞叶酸定量检测（磁微粒化学发光法）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抑制素A(Inhibin A )检测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肺癌七种自身抗体检测(酶联免疫法）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肺癌七种自身抗体包括MAGE A1蛋白，SOX2蛋白，PGP9.5蛋白，GAGE7蛋白，CAGE蛋白，P53蛋白，GBU4-5蛋白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肺癌七种自身抗体检测(酶联免疫法）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肺癌七种自身抗体包括MAGE A1蛋白，SOX2蛋白，PGP9.5蛋白，GAGE7蛋白，CAGE蛋白，P53蛋白，GBU4-5蛋白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肺癌七种自身抗体检测(酶联免疫法）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肺癌七种自身抗体包括MAGE A1蛋白，SOX2蛋白，PGP9.5蛋白，GAGE7蛋白，CAGE蛋白，P53蛋白，GBU4-5蛋白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肺癌七种自身抗体检测（酶联免疫法）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含MAGE A1蛋白、SOX2蛋白、PGP9.5蛋白、GAGE7蛋白、CAGE蛋白、P53蛋白、GBU4-5蛋白七种。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250501042X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诺如病毒抗原检测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250406000X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肺癌自身抗体检测七项</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肺癌七种自身抗体包括MAGE A1蛋白，SOX2蛋白，PGP9.5蛋白，GAGE7蛋白，CAGE蛋白，P53蛋白，GBU4-5蛋白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抗磷脂酰丝氨酸/凝血酶原复合物抗体（aPS/PT)检测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包括抗磷脂酰丝氨酸/凝血酶原复合物IgM或IgG抗体等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ELISA法</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抗磷脂酰丝氨酸/凝血酶原复合物抗体（aPS/PT)检测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包括IgM、IgG</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抗人组织转谷氨酰胺酶(h-tTG)抗体检测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包括人血清中抗人组织转谷氨酰胺酶(h-tTG) IgG或IgA抗体</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化学发光法</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抗人组织转谷氨酰胺酶(h-tTG)抗体检测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包括IgG、IgA</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抗脱氨基麦胶蛋白（DGP）抗体检测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包括IgG、IgA</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甲型/乙型流感病毒抗原检测（荧光免疫层析法）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荧光免疫层析法</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尿半乳糖测定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尿液半乳糖测定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前列腺特异性抗原同源异构体(P2PSA )测定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异常糖链糖蛋白（TAP）检测（凝集法）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含WGA、ConA、DSA、LCA、E-PHA、L-PHA、AAL、PNA、RCA-Ⅰ、MAA十种凝集素。</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结核分枝杆菌吡嗪酰胺液体药敏试验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本类型：按照不同来源标本分离株，制配菌悬液。培养管内加入相应药物及添加剂，接种，孵育，荧光扫描全自动判读生长结果。审核结果，录入实验室信息系统或人工登记，发送报告；实验室消毒，按规定处理废弃物；接受临床相关咨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结核分枝杆菌四项液体药敏试验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类型：按照不同来源标本分离株，制配菌悬液。培养管内加入相应药物（利福平、异烟肼、乙胺丁醇、链霉素）及添加剂，接种，孵育，荧光扫描全自动判读生长结果。审核结果，录入实验室信息系统或人工登记，发送报告；实验室消毒，按规定处理废弃物；接受临床相关咨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幽门螺杆菌培养及药敏检测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人肠癌SDC2基因甲基化检测(荧光PCR法)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对SDC2基因甲基化情况进行检测，辅助诊断肠道肿瘤，含9个位点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miR-92a含量检测（荧光RT-PCR法）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包括样本采集、核酸提取、RNA反转录、实时荧光定量PCR等分子生物学技术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miR-92a含量检测（荧光RT-PCR法）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包括样本采集、核酸提取、RNA反转录、实时荧光定量PCR等分子生物学技术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250800002S</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可溶性fms样酪氨酸激酶-1(sFlt-1)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250800001S</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胎盘生长因子(PLGF)</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微小核糖核酸（microRNA-25）定性检测（荧光PCR法）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样本采集、签收、处理，血清样本的RNA提取，检测，数据分析，质控，审核结果，录入实验室信息系统或人工登记，发送报告。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微小核糖核酸（microRNA-25）定性检测（荧光PCR法）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样本采集、签收、处理，血清样本的RNA提取，检测，数据分析，质控，审核结果，录入实验室信息系统或人工登记，发送报告。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根据方法区别定价，每项测定计费一次</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微小核糖核酸（microRNA-25）定性检测（荧光PCR法）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人血清中微小核糖核酸（microRNA-25）测定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miR-92a检测（荧光RT-PCR法）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包括样本采集、核酸提取、RNA反转录、实时荧光定量PCR等分子生物学技术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260310xxx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脂联素（ADPN）测定（免疫法）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血清/血浆。样本采集、签收、处理，定标和质控，检测样本，审核结果，录入实验室信息系统或人工登记，发送报告；按规定处理废弃物；接受临床相关咨询。采用免疫法检测样本中的ADPN浓度，检测样本加入至样本稀释液中，经稀释样本中的脂联素与抗脂联素抗体胶乳颗粒发生抗原抗体反应，形成免疫复合物，通过检测其浊度变化获得样本中脂联素的含量，使用生化分析仪比色，通过标准曲线计算得出相应的ADPN浓度并通过LIS系统将结果录入。依据检测结果并结合临床诊断，评价患者的糖尿病患病风险。</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270700003-1X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脱氧核糖核酸（DNA）测序(焦磷酸法)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包含样本采集，DNA提取纯化，聚合酶链式反应（PCR），脱氧核糖核酸（DNA）测序。测序深度包含：野生型纯合子、突变型纯合子、杂合子。临床药学解读测序结果并提供精准医疗报告。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每个位点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每个位点需要做3个测序深度</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19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阴道炎病原体非扩增定性检测（DNA探针法）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基于核酸杂交原理检测阴道分泌物中三种病原体（阴道加德纳菌、念珠菌、阴道毛滴虫）核酸。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据流行病学调查资料显示，妇产科门诊有31%的病人因阴道炎就诊，超过90%阴道炎感染可以归类为外阴阴道念珠菌病、滴虫性阴道炎、细菌性阴道病三种阴道炎，超过20%的患者为混合感染。DNA探针技术可以直接检测阴道炎病原体核酸，对比传统阴道炎检测技术拥有更高的敏感性和特异性，尤其在混合感染的诊断更加明显。检测结果不受阴道冲洗、月经、润滑剂和阴道用药的干扰，减少了患者重复就医成本，减轻患者经济负担以及医院的就诊压力，提升患者就诊满意度。</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阴道炎病原体非扩增定性检测（DNA探针法）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类型：阴道分泌物。方法学：基于核酸杂交原理检测阴道分泌物中三种病原体（阴道加德纳菌、念珠菌、阴道毛滴虫）核酸。实验室操作：采集阴道分泌物，加入裂解液裂解核酸，放置杂交试剂盒和底物，启动仪器进行杂交显色，读取结果，报告临床，接受临床咨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270400003X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数字病理切片</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单张玻片计费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早期阿尔茨海默氏症天玑辅助诊断</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采用天玑多模态中国人脑模板数据，同时应用量表、核磁、脑电图等多维数据进行病灶发现、特征提取，通过大数据比对与机器学习，快速进行早期AD筛查和辅助诊断</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量表、脑电、PET及核磁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310100035X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难治性癫痫术前功能评定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310100036X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皮层电刺激脑功能区定位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阴茎生物感觉阈值测定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阴茎生物感觉阈值测定是利用阴茎(定量)生物感觉阈值测定仪，(定量)测定阴茎感知震动的阈值以及对冷、热、痛等刺激的感觉阈值。</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图像报告、电极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阴茎生物感觉阈值测定常用于原发性早泄的病情评估、术后随访以及阴部（阴茎）敏感度、神经损伤的评估。阴茎生物感觉阈值是目前诊断原发性早泄最有效的方法之一。</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310208XXX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内脏脂肪测量（双生物电阻抗法）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双生物电阻抗内脏脂肪测定</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眼部熏蒸治疗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专用眼罩 药品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时间不低于20分钟</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310300113X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睑缘清洁</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含表面麻醉、中药熏洗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结膜拆线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310300115X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结膜囊酸碱度测定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含PH试纸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CGF拔牙创修复术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有软硬组织缺损的拔牙创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骨粉、骨膜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CGF含有浓缩的生长因子，它以患者自身的静脉血，通过仪器分离制备，塑形填入拔牙创，从而修补缺损，诱导生长，加速局部创伤的愈合，并提高愈合质量。</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拔牙创位点保存术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有较大范围的软硬组织缺损的拔牙创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骨粉、骨膜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在拔牙的同时或随后，采取软硬组织移植，最大程度减少牙槽嵴的吸收，为后期种植修复提供足够骨量和良好的骨质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唾液流量检测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患者10分钟在静止时的唾液流量检测，少于1ml的唾液量指示患者口干情况。</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310523XXX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种植体表面激光治疗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翻瓣或不翻瓣的情况下使用激光对种植体表面及周围软硬组织进行清创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310523XXX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种植体周围炎超声龈下刮治</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使用超声器械结合手工对种植体表面进行机械清创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310517007</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固定修复计算机辅助设计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包括计算机辅助设计制作全冠、嵌体、固定桥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纤支镜洗消</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包括纤支镜洗消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除外洗消剂及一次性耗材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310607XXX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舱内直流供氧</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不能很好的佩戴面罩配合吸氧的患者（包括婴幼儿、不能配合的成年患者等），佩戴面罩主动吸氧能力较弱者、气管切开病人及机械通气病人采用舱内直流供氧治疗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高压舱用双管吸氧面罩、吸氧头罩(密封式氧气头罩)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每次≥1小时</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3107010XXX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甲襞微循环测定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末梢微循环状态评价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在5秒内即可观测到微血管循环、操作简单、快速，显微影像稳定、清晰。采用非侵入方式、及时观察人体血液微循环状况，指导相应治疗，防治缺血性坏死的发生。</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心电监测远程传输</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利用移动智能心电图机、计算机及现代通信技术远距离采集、传输、监测心电图。在网络报告平台进行心电图数据检索下载、参数测量、图像描述、发分析报告、审核并永久保存，定期整理备份。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心电图引导静脉导管定位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血管腔内心电图定位方法进行静脉导管前端定位。不含静脉穿刺置管术。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不同时收取心电监测费用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心电图引导中心静脉导管定位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310702021X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心电图引导中心静脉导管定位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通过心电定位方法进行中心静脉导管前端定位。不含中心静脉穿刺置管术。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高分辨率食管测压检测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一次性电极导管防护套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高分辨率食管测压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包括食管高分辨率测压评估食管动力、评估胃食管结合处形态与压力。</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食管高分辨率阻抗测压（评估廓清功能）或3D成像(评估胃食管结合处形态与动态压力监测)加收50%</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310902014X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内镜色素检查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一次性透明黏膜吸套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310902006*7X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经胃镜特殊治疗(十个肿物以上加收50%)</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3D高分辨率肛管直肠检测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一次性电极导管防护套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健康粪菌液制备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粪菌移植（FMT）指的是将健康人粪便中的功能菌群，移植到患者肠道，重建新的肠道菌群，实现疾病的治疗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311202XXX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新生儿技术性防护转运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需要入住NICU的危重症新生儿转运</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仅限于新生儿科</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311300XXX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3D骨骼模型重建</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通过CT扫描结果，结合计算机辅助设计及3D重组技术重建个体化3D骨骼模型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311300XXX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骨科3D打印手术导板制作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通过CT扫描与计算机重组技术辅助设计与制作符合患者个体化解剖实际的手术导板</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包含打印材料、干燥、消毒；不含CT扫描费用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311300XXX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骨科3D模型制作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通过CT扫描与计算机重组技术辅助设计与制作符合患者病情与解剖实际的3D模型。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包含打印材料、干燥、消毒；不含CT扫描费用</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311400XXX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308准分子激光治疗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通过不同的能量设置发射单一的308nm波长准分子激光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光斑</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Das-Naglieri认知评估系统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测试儿童认知功能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超声高频集成切凝术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指血管及淋巴管切割、凝闭，达到最小热损伤的软组织切割及大血管（直径≥5mm）凝闭操作。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一次性刀头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超声高频集成切凝术加收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指血管及淋巴管切割、凝闭，达到最小热损伤的软组织切割及大血管（直径≥5mm）凝闭操作。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配套一次性刀头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同时具备了超声刀的“精细游离”功能、高频电刀的“大血管凝闭”及可吸收止血夹“安全闭合血管”功能，能够减少不同能量器械的切换，在腔镜手术中，能够明显减少手术及麻醉时间，加快病人术后康复。同时，由于该技术能够替代目前超声刀，高频电刀，可吸收止血夹的使用，降低手术中耗材总成本。</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超声高频集成切凝术加收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一次性刀头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单孔腹腔镜加收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应用单孔多通道穿刺器完成腹腔镜手术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胸腔镜纵隔淋巴结采样术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采用胸腔镜行纵隔淋巴结采样（右侧第2、3、4、7、8、9、10组中采样大于等于一组的淋巴结。左侧第4、5、6、7、8、9、10组中采样大于等于一组的淋巴结）</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明确纵隔淋巴结有无转移、病理类型、分期等，指导临床诊治。</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胸腔镜纵隔淋巴结清扫术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采用胸腔镜行纵隔淋巴结清扫术（右侧清扫第2、3、4、7、8、9、10组淋巴结。左侧清扫第4、5、6、7、8、9、10组淋巴结）</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明确纵隔淋巴结有无转移、病理类型、分期等，指导临床诊治。</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贲门微量射频治疗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射频导管的四针电极对齿线上下食管下段和贲门区域下括约肌每层8-12个，每隔0.5cm一层，共6-8个层面的治疗平面进行微量射频电流治疗。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一次性射频导管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智能化内镜下消化道重大异常探查加收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在内镜检查过程中，通过加用人工智能技术，找出消化道内重大异常（包括癌前病变，早期癌症等）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331004003*5X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经内镜肠良性肿物切除术(十个肿物以上加收50%)</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331201011X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精囊镜检（含精囊腺止血、冲洗）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精囊镜检查，含精囊内止血、冲洗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精囊镜导管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椎间盘激光修复术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医用激光光纤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每椎间盘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331501069X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脊柱关节突截骨术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含关节突切除、关节突松解</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331501071X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脊柱智能导向椎弓根开路术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脊柱探针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331602008*X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注射溶脂手术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应用溶脂材料进行全身各部位溶脂</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溶脂材料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每10cm2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线雕美容术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应用各类缝线材料进行面部提升、填充美容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各类缝线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按部位收费</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340100030X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吞咽电刺激治疗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吞咽神经肌肉电刺激仪是通过把治疗电极放置于患者颈部、面部等，仪器输出电流，对吞咽言语功能有关的神经肌肉进行神经肌肉电刺激，而改善吞咽肌、构音肌的功能，以达到治疗效果。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ADL自助具制作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针对患者需要使用的辅助器具种类、所用辅助器具的功能需要以及正确使用辅助器具的方法进行评定和制作，使之适合并弥补患者的功能缺失水平，提高患者康复水平和康复治疗效果。</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含矫形器，康复工程，康复重要组成部分</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大关节矫形器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固定支持，矫正，功能代偿，含一次诊疗过程中的几次修型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含矫形器，康复工程，康复重要组成部分</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肌内效贴贴敷治疗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缓解疼痛；改善循环，减轻水肿；支持、放松软组织，改善不正确的动作型态，增强关节稳定性。</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30分钟/次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在运动损伤康复和肌肉疼痛康复中作用显著</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麦肯基疗法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麦肯基手法治疗和训练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主要适用于盘源性腰腿痛和盘源性的颈椎病。临床意义：恢复患者椎间盘序列，改善甚至消除患者症状，效果持久不易复发。</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小关节矫形器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固定支持，矫正，功能代偿，含一次诊疗过程中的几次修型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含矫形器，康复工程，康复重要组成部分</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340200029*1X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儿童家庭康复训练指导</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复治疗师针对各类病因导致的运动功能障碍或运动发育迟缓、肌张力异常、关节活动度异常，姿势异常的患儿抚养人的学习能力、家庭背景和患儿情况进行个性化的训练处方，重心放在指导，包括家庭训练场所布置建议、家庭运动计划表、运动训练处方内容手把手教学。</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40分钟/次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340200005*1X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关节功能评估筛查</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综合关节功能筛查</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不包含后继矫正性训练指导</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340200044X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功能性贴扎治疗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功能性贴扎治疗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肌内效贴布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340200045X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慢性病康复训练指导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针对一般的慢性病（如慢阻肺、高血压、肥胖等），通过前期的医学查体或康复评定，发现患者存在的主要功能问题，制定个体化的康复计划，并指导其训练。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340200046X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慢性肌肉骨骼疼痛治疗</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含筋膜治疗手法、关节松动术治疗手法、运动控制训练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340200047X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综合运动能力评估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通过专业筛查量表发现机体现存问题，提供相应训练方案，出具综合评估报告。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整套评估耗时60-90分钟，由一位医师或治疗师全程陪同完成</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FF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340200048X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选择性功能动作评估</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通过标准化动作，运用选择性功能动作评估筛查，找到真正活动受限引发疼痛的根源病因，为下一步实施治疗提供基础。</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340300004X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踝关节固定支具制作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在人体生物力学的基础上，作用于人体四肢或者躯干，以保护、稳定肢体，神经与肌肉疾病及功能代偿的体外装置。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340300001X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手屈/伸肌腱损伤动力支具制作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在人体生物力学的基础上，作用于人体四肢或者躯干，制作以保护、稳定肢体，神经与肌肉疾病及功能代偿的体外装置。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340300002X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腕手部固定形支具制作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在人体生物力学的基础上，作用于人体四肢或者躯干，制作以保护、稳定肢体，神经与肌肉疾病及功能代偿的体外装置。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340300003X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腕肘部固定支具制作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在人体生物力学的基础上，作用于人体四肢或者躯干，制作以保护、稳定肢体，神经与肌肉疾病及功能代偿的体外装置。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340300005X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膝关节固定支具制作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在人体生物力学的基础上，作用于人体四肢或者躯干，以保护、稳定肢体，神经与肌肉疾病及功能代偿的体外装置。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33040000XX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眼后段手术微创加收</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指复杂视网膜脱离修复术、玻璃体切除术、球内异物取出术、黄斑手术等眼后段微创手术。使用25G及以上玻璃体切割头行玻璃体切除。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33040000XX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经鼻内镜下眼部手术微创加收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指经鼻内镜下泪器、眼眶及视神经等眼部手术微创加收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330407005-XS</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内镜下眼眶壁磨削术</w:t>
            </w:r>
          </w:p>
        </w:tc>
        <w:tc>
          <w:tcPr>
            <w:tcW w:w="2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消毒铺巾。鼻内切口或皮肤切口或结膜切口，切开眼眶壁骨膜。切开骨膜，在0°内镜放大和直视下在骨膜下分离，暴露需磨削的眼眶壁，用DCR弯金刚砂钻头或/和高速金刚砂弯钻头或磨头磨削眼眶壁。完成其他手术步骤</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一次性DCR弯金刚砂钻头或/和一次性高速金刚砂弯钻头</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中药普通饮片调配</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处方，逐味调配(如有先煎、后下、包煎、另煎、冲服、烊化、捣碎等药味，按调剂规程及医生处方要求处理，另包)，调配后复核，逐剂包装，在包装袋上标注煎药说明(内含先煎药、后下药、包煎药、另煎药、冲服药、烊化药)、标注内服或外用、用法用量，发放药品并同时进行用药、煎药交待。                                                   包括中药小包装饮片调配，中药免煎颗粒调配。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每张处方药味大15味者，每增加5味药加收不超20%。</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中药喷喉</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含喷喉器费用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含评估、治疗、训练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火龙灸（背部）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火龙灸（腹部）</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五音疗法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含宫、商、角、徵、羽</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每首歌曲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穴位按摩</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含按、摩、推、拿、揉、捏、颤、打</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温通刮痧</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含刮痧、艾灸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施罗斯训练疗法 </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反旋转式呼吸训练、侧弯特定步态训练、日常生活指导、主动矫正训练、稳定性训练、核心练习等。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筋针疗法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运用筋针治疗临床上筋结所致各种疾病</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触发点针刺疗法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含理筋</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动态小针刀松解术</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含静脉全麻、小针刀松解</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护脊调曲功法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微循环检测</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指通过显微系统得到甲襞、球结膜、舌、皮肤等部位组织的微循环状态信息。含采血、分析及彩色图文报告。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热湿敷疗法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含药物调配、红外线、用具等</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温熨疗法</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中医脉学诊断</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含五脏六腑、五官、奇恒之腑等，出具诊断报告</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火龙灸</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含背部、颈/腰部、腹部</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温通刮痧</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火龙罐</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推拿、刮痧、按摩、点穴、艾灸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火龙罐（小）</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推拿、刮痧、按摩、点穴、艾灸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440000XXX*2</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火龙罐（中）</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推拿、刮痧、按摩、点穴、艾灸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2"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440000XXX*3</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火龙罐（大）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不通过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62" w:hRule="atLeast"/>
        </w:trPr>
        <w:tc>
          <w:tcPr>
            <w:tcW w:w="72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注：试行期间由医疗机构自主制定价格</w:t>
            </w:r>
          </w:p>
        </w:tc>
        <w:tc>
          <w:tcPr>
            <w:tcW w:w="3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pStyle w:val="2"/>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_GB2312" w:hAnsi="仿宋_GB2312" w:eastAsia="仿宋_GB2312" w:cs="仿宋_GB2312"/>
          <w:b w:val="0"/>
          <w:bCs w:val="0"/>
          <w:color w:val="auto"/>
          <w:sz w:val="32"/>
          <w:szCs w:val="32"/>
          <w:shd w:val="clear" w:fill="FFFFFF"/>
          <w:lang w:val="en-US" w:eastAsia="zh-CN"/>
        </w:rPr>
      </w:pPr>
    </w:p>
    <w:p>
      <w:pPr>
        <w:pStyle w:val="2"/>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200E4"/>
    <w:rsid w:val="00A210CB"/>
    <w:rsid w:val="023C621D"/>
    <w:rsid w:val="050A133D"/>
    <w:rsid w:val="056C702B"/>
    <w:rsid w:val="10F924CF"/>
    <w:rsid w:val="1FC863DD"/>
    <w:rsid w:val="2D6715DD"/>
    <w:rsid w:val="47F859B5"/>
    <w:rsid w:val="57784B64"/>
    <w:rsid w:val="5C04143E"/>
    <w:rsid w:val="60FE38D6"/>
    <w:rsid w:val="6A8A1820"/>
    <w:rsid w:val="70704C00"/>
    <w:rsid w:val="76DB5D13"/>
    <w:rsid w:val="7CD200E4"/>
    <w:rsid w:val="7F81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vertAlign w:val="baseli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vertAlign w:val="baseli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f-fl"/>
    <w:basedOn w:val="4"/>
    <w:qFormat/>
    <w:uiPriority w:val="0"/>
    <w:rPr>
      <w:b/>
      <w:color w:val="FFFFFF"/>
      <w:sz w:val="28"/>
      <w:szCs w:val="28"/>
    </w:rPr>
  </w:style>
  <w:style w:type="character" w:customStyle="1" w:styleId="14">
    <w:name w:val="f-fl1"/>
    <w:basedOn w:val="4"/>
    <w:qFormat/>
    <w:uiPriority w:val="0"/>
    <w:rPr>
      <w:sz w:val="37"/>
      <w:szCs w:val="37"/>
    </w:rPr>
  </w:style>
  <w:style w:type="character" w:customStyle="1" w:styleId="15">
    <w:name w:val="f-fl2"/>
    <w:basedOn w:val="4"/>
    <w:qFormat/>
    <w:uiPriority w:val="0"/>
    <w:rPr>
      <w:b/>
      <w:color w:val="FFFFFF"/>
      <w:sz w:val="28"/>
      <w:szCs w:val="28"/>
    </w:rPr>
  </w:style>
  <w:style w:type="character" w:customStyle="1" w:styleId="16">
    <w:name w:val="toux2"/>
    <w:basedOn w:val="4"/>
    <w:qFormat/>
    <w:uiPriority w:val="0"/>
    <w:rPr>
      <w:shd w:val="clear" w:fill="CCCCCC"/>
    </w:rPr>
  </w:style>
  <w:style w:type="character" w:customStyle="1" w:styleId="17">
    <w:name w:val="f-fr"/>
    <w:basedOn w:val="4"/>
    <w:qFormat/>
    <w:uiPriority w:val="0"/>
  </w:style>
  <w:style w:type="character" w:customStyle="1" w:styleId="18">
    <w:name w:val="f-fr1"/>
    <w:basedOn w:val="4"/>
    <w:qFormat/>
    <w:uiPriority w:val="0"/>
  </w:style>
  <w:style w:type="character" w:customStyle="1" w:styleId="19">
    <w:name w:val="f-fr2"/>
    <w:basedOn w:val="4"/>
    <w:qFormat/>
    <w:uiPriority w:val="0"/>
  </w:style>
  <w:style w:type="character" w:customStyle="1" w:styleId="20">
    <w:name w:val="f-fl3"/>
    <w:basedOn w:val="4"/>
    <w:qFormat/>
    <w:uiPriority w:val="0"/>
    <w:rPr>
      <w:b/>
      <w:color w:val="FFFFFF"/>
      <w:sz w:val="28"/>
      <w:szCs w:val="28"/>
    </w:rPr>
  </w:style>
  <w:style w:type="character" w:customStyle="1" w:styleId="21">
    <w:name w:val="f-fl4"/>
    <w:basedOn w:val="4"/>
    <w:qFormat/>
    <w:uiPriority w:val="0"/>
    <w:rPr>
      <w:sz w:val="37"/>
      <w:szCs w:val="3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YLBZJ</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2019-12-04T07:21:00Z</dcterms:created>
  <dc:creator>姚美玲</dc:creator>
  <cp:lastModifiedBy>唐丽玲</cp:lastModifiedBy>
  <dcterms:modified xsi:type="dcterms:W3CDTF">2023-03-16T02:35:22Z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CEE6DD48021C4C879247A1301A95C094</vt:lpwstr>
  </property>
</Properties>
</file>