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深圳市202</w:t>
      </w:r>
      <w:r>
        <w:rPr>
          <w:rFonts w:hint="default" w:ascii="方正小标宋_GBK" w:hAnsi="方正小标宋_GBK" w:eastAsia="方正小标宋_GBK" w:cs="方正小标宋_GBK"/>
          <w:sz w:val="44"/>
          <w:szCs w:val="44"/>
          <w:lang w:val="en" w:eastAsia="zh-CN"/>
        </w:rPr>
        <w:t>2</w:t>
      </w:r>
      <w:r>
        <w:rPr>
          <w:rFonts w:hint="eastAsia" w:ascii="方正小标宋_GBK" w:hAnsi="方正小标宋_GBK" w:eastAsia="方正小标宋_GBK" w:cs="方正小标宋_GBK"/>
          <w:sz w:val="44"/>
          <w:szCs w:val="44"/>
          <w:lang w:val="en-US" w:eastAsia="zh-CN"/>
        </w:rPr>
        <w:t>年医疗机构申报新增医疗服务价格项目</w:t>
      </w:r>
      <w:r>
        <w:rPr>
          <w:rFonts w:hint="eastAsia" w:ascii="方正小标宋_GBK" w:hAnsi="方正小标宋_GBK" w:eastAsia="方正小标宋_GBK" w:cs="方正小标宋_GBK"/>
          <w:sz w:val="44"/>
          <w:szCs w:val="44"/>
          <w:lang w:val="en-US" w:eastAsia="zh-CN"/>
        </w:rPr>
        <w:br w:type="textWrapping"/>
      </w:r>
      <w:r>
        <w:rPr>
          <w:rFonts w:hint="eastAsia" w:ascii="方正小标宋_GBK" w:hAnsi="方正小标宋_GBK" w:eastAsia="方正小标宋_GBK" w:cs="方正小标宋_GBK"/>
          <w:sz w:val="44"/>
          <w:szCs w:val="44"/>
          <w:lang w:val="en-US" w:eastAsia="zh-CN"/>
        </w:rPr>
        <w:t>审核结果公示表</w:t>
      </w:r>
    </w:p>
    <w:tbl>
      <w:tblPr>
        <w:tblStyle w:val="6"/>
        <w:tblW w:w="13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0"/>
        <w:gridCol w:w="1585"/>
        <w:gridCol w:w="2177"/>
        <w:gridCol w:w="5135"/>
        <w:gridCol w:w="1124"/>
        <w:gridCol w:w="1064"/>
        <w:gridCol w:w="117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Header/>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项目编码</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项目名称</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项目内涵</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除外内容</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计价单位</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说明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
              </w:rPr>
            </w:pPr>
            <w:r>
              <w:rPr>
                <w:rFonts w:hint="eastAsia" w:ascii="宋体" w:hAnsi="宋体" w:eastAsia="宋体" w:cs="宋体"/>
                <w:b/>
                <w:i w:val="0"/>
                <w:color w:val="auto"/>
                <w:kern w:val="0"/>
                <w:sz w:val="20"/>
                <w:szCs w:val="20"/>
                <w:u w:val="none"/>
                <w:lang w:val="en-US" w:eastAsia="zh-CN" w:bidi="ar"/>
              </w:rPr>
              <w:t>审核结果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120100XXX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早产儿护理</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指对出生时胎龄小于37周的活产婴儿进行护理。评估早产儿病情，患儿胎龄、日龄、体重增长、皮肤等情况，根据体重监护早产儿面色、体温、呼吸、心率、血压变化及各种管路的连接固定。观察喂养过程中的病情变化。体位摆至功能位，定时更换体位，保持体位舒适。</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限胎龄及纠正胎龄不满37周的早产儿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130700XXX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上门服务费</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根据患者需求，医疗机构派出医师、护师、药师或技师等专业人员，前往患者指定地点为其提供合法合规的医药服务。</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上门后提供的医疗服务、药品、医用耗材等</w:t>
            </w:r>
            <w:r>
              <w:rPr>
                <w:rFonts w:hint="eastAsia" w:ascii="宋体" w:hAnsi="宋体" w:eastAsia="宋体" w:cs="宋体"/>
                <w:i w:val="0"/>
                <w:color w:val="auto"/>
                <w:sz w:val="20"/>
                <w:szCs w:val="20"/>
                <w:u w:val="none"/>
                <w:lang w:eastAsia="zh-CN"/>
              </w:rPr>
              <w:t>另行计价</w:t>
            </w:r>
            <w:r>
              <w:rPr>
                <w:rFonts w:hint="eastAsia" w:ascii="宋体" w:hAnsi="宋体" w:eastAsia="宋体" w:cs="宋体"/>
                <w:i w:val="0"/>
                <w:color w:val="auto"/>
                <w:sz w:val="20"/>
                <w:szCs w:val="20"/>
                <w:u w:val="none"/>
              </w:rPr>
              <w:t>。</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rPr>
              <w:t>次</w:t>
            </w:r>
            <w:r>
              <w:rPr>
                <w:rFonts w:hint="eastAsia" w:ascii="仿宋_GB2312" w:hAnsi="仿宋_GB2312" w:eastAsia="仿宋_GB2312" w:cs="仿宋_GB2312"/>
                <w:i w:val="0"/>
                <w:color w:val="auto"/>
                <w:sz w:val="20"/>
                <w:szCs w:val="20"/>
                <w:u w:val="none"/>
              </w:rPr>
              <w:t>·</w:t>
            </w:r>
            <w:r>
              <w:rPr>
                <w:rFonts w:hint="eastAsia" w:ascii="宋体" w:hAnsi="宋体" w:eastAsia="宋体" w:cs="宋体"/>
                <w:i w:val="0"/>
                <w:color w:val="auto"/>
                <w:sz w:val="20"/>
                <w:szCs w:val="20"/>
                <w:u w:val="none"/>
                <w:lang w:eastAsia="zh-CN"/>
              </w:rPr>
              <w:t>人</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w:t>
            </w:r>
            <w:r>
              <w:rPr>
                <w:rFonts w:hint="eastAsia" w:ascii="宋体" w:hAnsi="宋体" w:eastAsia="宋体" w:cs="宋体"/>
                <w:i w:val="0"/>
                <w:color w:val="auto"/>
                <w:sz w:val="20"/>
                <w:szCs w:val="20"/>
                <w:u w:val="none"/>
              </w:rPr>
              <w:t>次</w:t>
            </w:r>
            <w:r>
              <w:rPr>
                <w:rFonts w:hint="eastAsia" w:ascii="仿宋_GB2312" w:hAnsi="仿宋_GB2312" w:eastAsia="仿宋_GB2312" w:cs="仿宋_GB2312"/>
                <w:i w:val="0"/>
                <w:color w:val="auto"/>
                <w:sz w:val="20"/>
                <w:szCs w:val="20"/>
                <w:u w:val="none"/>
              </w:rPr>
              <w:t>·</w:t>
            </w:r>
            <w:r>
              <w:rPr>
                <w:rFonts w:hint="eastAsia" w:ascii="宋体" w:hAnsi="宋体" w:eastAsia="宋体" w:cs="宋体"/>
                <w:i w:val="0"/>
                <w:color w:val="auto"/>
                <w:sz w:val="20"/>
                <w:szCs w:val="20"/>
                <w:u w:val="none"/>
                <w:lang w:eastAsia="zh-CN"/>
              </w:rPr>
              <w:t>人”中的“人”是指每名专业人员。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210102XXX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骨龄相X线摄影</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患儿行手正位摄片，曝光、冲洗照片（胶片）或完成胶片或其他储存介质（含数字方式）的处理和诊断报告。根据摄片，综合GP图谱、中华05、TW3评分系统，运用数字化软件结合人工进行骨成熟度评估。</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240300XXX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图像引导的三维立体定向放射治疗</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将来自不同角度的辐射束精确聚焦到患者体内的肿瘤，让病灶受到最大剂量的照射，由于靶区周围的剂量降低非常迅速，可以减少对周围正常组织细胞的损害，降低副作用，提升疗效。在精确的影像技术引导下给予局部肿瘤以高剂量、低分割的放射治疗，可获得较高的肿瘤局部控制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疗程</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3次及以下按“次”收费，每次</w:t>
            </w:r>
            <w:r>
              <w:rPr>
                <w:rFonts w:hint="eastAsia" w:ascii="宋体" w:hAnsi="宋体" w:eastAsia="宋体" w:cs="宋体"/>
                <w:i w:val="0"/>
                <w:color w:val="auto"/>
                <w:sz w:val="20"/>
                <w:szCs w:val="20"/>
                <w:u w:val="none"/>
                <w:lang w:val="en-US" w:eastAsia="zh-CN"/>
              </w:rPr>
              <w:t>X</w:t>
            </w:r>
            <w:r>
              <w:rPr>
                <w:rFonts w:hint="eastAsia" w:ascii="宋体" w:hAnsi="宋体" w:eastAsia="宋体" w:cs="宋体"/>
                <w:i w:val="0"/>
                <w:color w:val="auto"/>
                <w:sz w:val="20"/>
                <w:szCs w:val="20"/>
                <w:u w:val="none"/>
              </w:rPr>
              <w:t>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250302XXX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1,5-脱水-D-山梨醇测定</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样本类型血清，采用吡喃糖氧化酶法在全自动生化分析仪上测定血清样本中1,5-脱水-D-山梨醇含量，出具分析报告，提出临床建议。</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250305XXX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壳多糖酶3样蛋白1检测(化学发光法)</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rPr>
              <w:t>样本类型：血清。样本采集、签收、处理加化学发光标记抗体，检测，质控，审核结果，录入实验室信息系统或人工登记，发送报告</w:t>
            </w:r>
            <w:r>
              <w:rPr>
                <w:rFonts w:hint="eastAsia" w:ascii="宋体" w:hAnsi="宋体" w:eastAsia="宋体" w:cs="宋体"/>
                <w:i w:val="0"/>
                <w:color w:val="auto"/>
                <w:sz w:val="20"/>
                <w:szCs w:val="20"/>
                <w:u w:val="none"/>
                <w:lang w:eastAsia="zh-CN"/>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250305XXX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透明质酸（HA）测定</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样本类型：血液、尿液。样本采集、签收、处理，定标和质控，检测样本，审核结果，录入实验室信息系统或人工登记，发送报告；按规定处理废弃物；接受临床相关咨询。</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250309XXX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红细胞叶酸（FA）定量检测（磁微粒化学发光法）</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用于体外定量检测人体红细胞中的叶酸水平。</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250401XXX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免疫球蛋白游离轻链定量及比值测定</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包括Kappa型和Lambda型的游离轻链的测定并计算比值。</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310100XXX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128/256导颅内电极脑电图录像监测</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利用埋置植在颅内的电极用128导或256导脑电图仪进行长时间录像脑皮层电图的记录，人工阅图、分析，出报告。</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小时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310207XXX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盐水输注试验</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试验前卧床休息1h，4h静滴2L生理盐水，需监测血压和心率变化，在输注盐水前后分别采血测血浆肾素活性、血醛固酮、血皮质醇及血钾。由专科医生分析和评估试验结果。不含检验费、心电监护、生理盐水及静脉滴注费用。</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每试验项目</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310208XXX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心脏自主神经功能检查</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患者进行卧立位血压测量、卧立位心率检测、Valsalva动作指数检测、深呼吸心率差检测，酌情加做握力试验。全程记录心电RR间期及血压变化，专科医生分析结果并出具报告。不含心电图检查、心率变异性（HRV）检查。</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3103XXXXX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眼表综合检查</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受检者取坐位，头部置于检查仪器头架上，嘱患者注视灯源，进行规定时间内不完全瞬目次数占比检测、眼表泪膜稳定性的观察、泪膜脂质层厚度的测量、睑板腺图像分析等眼表综合检查。图文报告及评估。</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3103XXXXX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视觉障碍者综合能力康复评估</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由医师召集与此次评定内容相关小组成员（例如康复治疗师、护士、社会工作者、心理咨询员、验光师、辅助器具工程师等），共同对患者进行多维度的检查和现场观察、任务性评估，评估内容包括患者的需求评估、视功能的障碍程度、全身体格评估、功能障碍后的心理状态、视觉障碍后导致的言语、听力、认知、社交等方面能力的发育落后或能力下降，日常生活、学习、工作受限影响的程度等，通过综合评估了解患者功能障碍性质、部位、程度、预后及康复目标充分发表康复意见，提出各自的应对策略、康复计划 (包括近、中、远期)，对计划开展及已执行的计划进行评定、修改、补充。康复治疗结束时再次通过综合评估，对康复疗效进行总结并为下阶段治疗或出院后康复去向给予指导意见。</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3103XXXXX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光学相干断层扫描血管成像(OCTA)</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含测眼球后极组织血流信号及断层面。</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3103XXXXX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玻璃体激光消融术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散瞳、眼表麻醉，头带固定、瞄准混浊物，调节能量大小、逐步继续激光玻璃体消融至完全消融或单次治疗最大消融量，去下接触镜、完成治疗。</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310513XXX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牙龈隧道制备术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指微创手术器械分离龈瓣，松弛术区龈瓣，制备隧道样结构。</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每牙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310701032X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舌下微循环成像</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采集3-5个不同位置的微循环图像后结束采集。选择合适的微循环图像进行分析与评价，评估组织器官的微循环与组织灌注情况。</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310702XXX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经皮冠状静脉内无水酒精化学消融术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含冠状静脉内选择性注射无水酒精，将该静脉分支的分布区域心外膜及相应区域部分心内膜面心房肌进行化学性毁损，治疗难治性持续性房颤和二尖瓣峡部相关房速，与导管消融结合。</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311400XXX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多功能激光光电治疗</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面部涂抹冷凝胶后，通过滑动电磁波修复手柄治疗，结束后再根据个人皮肤情况，予590nm黄极光/830nm 红外光进行照射，起到舒缓炎症、减少疼痛、修复皮肤屏障功能。</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限用于治疗过敏性皮炎、炎性痤疮、白斑病、白癜风、银屑病等皮肤疾病。</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311400XXX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瘢痕射频治疗</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清洁皮肤，必要时应用表面麻醉剂，使用射频设备，调整合适能量治疗参数，进行相应部位瘢痕治疗。</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1cm2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rPr>
              <w:t>限用于皮肤疾病治疗。不足1cm2按1cm2计价，大于1cm2加收</w:t>
            </w:r>
            <w:r>
              <w:rPr>
                <w:rFonts w:hint="eastAsia" w:ascii="宋体" w:hAnsi="宋体" w:eastAsia="宋体" w:cs="宋体"/>
                <w:i w:val="0"/>
                <w:color w:val="auto"/>
                <w:sz w:val="20"/>
                <w:szCs w:val="20"/>
                <w:u w:val="none"/>
                <w:lang w:val="en-US" w:eastAsia="zh-CN"/>
              </w:rPr>
              <w:t>X</w:t>
            </w:r>
            <w:r>
              <w:rPr>
                <w:rFonts w:hint="eastAsia" w:ascii="宋体" w:hAnsi="宋体" w:eastAsia="宋体" w:cs="宋体"/>
                <w:i w:val="0"/>
                <w:color w:val="auto"/>
                <w:sz w:val="20"/>
                <w:szCs w:val="20"/>
                <w:u w:val="none"/>
              </w:rPr>
              <w:t>元/cm2</w:t>
            </w:r>
            <w:r>
              <w:rPr>
                <w:rFonts w:hint="eastAsia" w:ascii="宋体" w:hAnsi="宋体" w:eastAsia="宋体" w:cs="宋体"/>
                <w:i w:val="0"/>
                <w:color w:val="auto"/>
                <w:sz w:val="20"/>
                <w:szCs w:val="20"/>
                <w:u w:val="none"/>
                <w:lang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311400XXX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皮肤微针治疗</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滚针或电动微针针刺皮肤后药物导入治疗雄激素性脱发、慢性湿疹、黄褐斑、白癜风等疾病。</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1cm2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rPr>
              <w:t>不足1cm2按1cm2计价，大于1cm2加收</w:t>
            </w:r>
            <w:r>
              <w:rPr>
                <w:rFonts w:hint="eastAsia" w:ascii="宋体" w:hAnsi="宋体" w:eastAsia="宋体" w:cs="宋体"/>
                <w:i w:val="0"/>
                <w:color w:val="auto"/>
                <w:sz w:val="20"/>
                <w:szCs w:val="20"/>
                <w:u w:val="none"/>
                <w:lang w:val="en-US" w:eastAsia="zh-CN"/>
              </w:rPr>
              <w:t>X</w:t>
            </w:r>
            <w:r>
              <w:rPr>
                <w:rFonts w:hint="eastAsia" w:ascii="宋体" w:hAnsi="宋体" w:eastAsia="宋体" w:cs="宋体"/>
                <w:i w:val="0"/>
                <w:color w:val="auto"/>
                <w:sz w:val="20"/>
                <w:szCs w:val="20"/>
                <w:u w:val="none"/>
              </w:rPr>
              <w:t>元/cm2</w:t>
            </w:r>
            <w:r>
              <w:rPr>
                <w:rFonts w:hint="eastAsia" w:ascii="宋体" w:hAnsi="宋体" w:eastAsia="宋体" w:cs="宋体"/>
                <w:i w:val="0"/>
                <w:color w:val="auto"/>
                <w:sz w:val="20"/>
                <w:szCs w:val="20"/>
                <w:u w:val="none"/>
                <w:lang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320500XXX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经皮冠状动脉瘘栓塞术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含介入堵塞冠状动脉瘘,穿刺股动静脉，经导管送入封堵器、血管塞、弹簧栓等。</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血管塞</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330200XXX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使用电磁刀加收</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利用电磁场效应及电磁场近场能量，对软组织或神经组织周围等敏感区域实施无压力汽化切割，并依据术中出血情况，实施无焦痂止血操作。适用于肿瘤、血管等病灶的处理。</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电磁刀手术电极</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330801XXX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经导管二尖瓣钳夹术(MitraClip)</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含进行股静脉穿刺，食道超声引导下进入左心房，输送鞘到指定部位，将夹子缓慢送至二尖瓣下，3D超声调整夹子和瓣膜的相对应关系，寻找二尖瓣返流最严重的部位进行预钳夹，用超声评估钳夹效果，结果满意后，进行最终钳夹和释放。</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经导管二尖瓣夹可操控导引导管、血管缝合器</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适用人群：外科手术高危或禁忌的症状性二尖瓣中度至重度反流(MR≥3+)，包括DMR（退行性二尖瓣反流）和FMR（功能性二尖瓣反流）。</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331203XXX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显微精索静脉曲张低位结扎术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全身或硬膜外麻醉，腹股沟管外环或外环下切口，显微镜下逐层切开精索，保护精索动脉、输精管及其动脉，结扎曲张的精索内、外静脉等，精索复位，止血缝合。</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单侧</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450000XXX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整脊盆底治疗</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含盆底肌筋膜手法、骶尾关节整复术。</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110500XXX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大数据癌症风险筛查</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要求获取体检者的血常规、尿常规、血生化等生理检验数据，与数据库海量的癌症患者的生理检验数据进行比对，从中找出血液、尿液与癌症之间的关联因素及发病规律，给予体检者一个量化癌前病变风险和早期癌症的预测报告。</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120100XXX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早产儿发育支持照护</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袋鼠式护理。由于早产儿器官功能不成熟、由护师指导家长对早产儿进行喂养、抚触、语言等全程照护措施，保持家长与患儿皮肤亲密接触。护理中需进行严密监测患儿的生命体征和反应状态，必要时进行心电监护，随时做好应急和抢救措施准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rPr>
              <w:t>限胎龄及纠正胎龄不满37周的早产儿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120500005X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水动力清创术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指水动力清创系统清创，含清创术前消毒铺单及术后创面包扎。</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一次性使用水刀头</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rPr>
              <w:t>超过50cm2</w:t>
            </w:r>
            <w:r>
              <w:rPr>
                <w:rFonts w:hint="eastAsia" w:ascii="宋体" w:hAnsi="宋体" w:eastAsia="宋体" w:cs="宋体"/>
                <w:i w:val="0"/>
                <w:color w:val="auto"/>
                <w:sz w:val="20"/>
                <w:szCs w:val="20"/>
                <w:u w:val="none"/>
                <w:lang w:eastAsia="zh-CN"/>
              </w:rPr>
              <w:t>，</w:t>
            </w:r>
            <w:r>
              <w:rPr>
                <w:rFonts w:hint="eastAsia" w:ascii="宋体" w:hAnsi="宋体" w:eastAsia="宋体" w:cs="宋体"/>
                <w:i w:val="0"/>
                <w:color w:val="auto"/>
                <w:sz w:val="20"/>
                <w:szCs w:val="20"/>
                <w:u w:val="none"/>
              </w:rPr>
              <w:t>每10cm2  加收</w:t>
            </w:r>
            <w:r>
              <w:rPr>
                <w:rFonts w:hint="eastAsia" w:ascii="宋体" w:hAnsi="宋体" w:eastAsia="宋体" w:cs="宋体"/>
                <w:i w:val="0"/>
                <w:color w:val="auto"/>
                <w:sz w:val="20"/>
                <w:szCs w:val="20"/>
                <w:u w:val="none"/>
                <w:lang w:val="en-US" w:eastAsia="zh-CN"/>
              </w:rPr>
              <w:t>X</w:t>
            </w:r>
            <w:r>
              <w:rPr>
                <w:rFonts w:hint="eastAsia" w:ascii="宋体" w:hAnsi="宋体" w:eastAsia="宋体" w:cs="宋体"/>
                <w:i w:val="0"/>
                <w:color w:val="auto"/>
                <w:sz w:val="20"/>
                <w:szCs w:val="20"/>
                <w:u w:val="none"/>
              </w:rPr>
              <w:t>元</w:t>
            </w:r>
            <w:r>
              <w:rPr>
                <w:rFonts w:hint="eastAsia" w:ascii="宋体" w:hAnsi="宋体" w:eastAsia="宋体" w:cs="宋体"/>
                <w:i w:val="0"/>
                <w:color w:val="auto"/>
                <w:sz w:val="20"/>
                <w:szCs w:val="20"/>
                <w:u w:val="none"/>
                <w:lang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210200XXX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磁共振引导下聚焦超声子宫肌瘤消融治疗</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利用实时磁共振成像技术引导、控制和监测高强度聚焦超声波，无创治疗子宫肌瘤。</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造影剂，镇痛及其药物、镇痛装置</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240101XXX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移动式O形臂数字化摄影</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移动式O形臂数字化摄影在手术中对头颅、颈椎、胸椎、腰椎、骨盆13秒360度扫描，得到700张图合成三维图像，精准、快速为手术导航、机器人的手术提供可信的术中影像。</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250301XXX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涎液化糖链抗原（KL-6）检测-乳胶凝集法</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采集标本，分离血清，加入试剂，校准、质控，标本上机，分析报告，审核结果，根据实际情况与临床沟通。</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2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250402014X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胰岛细胞抗体测定(化学发光法)</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样本类型：血液。样本采集、签收、处理，样本与抗原基质片反应，加化学发光标记抗体，检测，质控，审核结果，录入实验室信息系统或人工登记，发送报告。</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250503XXX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肺部感染多重病原体核酸联合检测</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指用封闭巢式多重PCR熔解曲线法对肺部感染多重病原体核酸联合检测试剂盒，一次检测33种肺炎相关病原体的方式。</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250503XXX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呼吸道感染性病原体核酸检测</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指用封闭巢式多重PCR熔解曲线法对上呼吸道感染快速检测的全自动多重PCR检测22种病原体的检测方式。</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37</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250503XXX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血流感染病原体核酸检测</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指用封闭巢式多重PCR熔解曲线法对常见血流感染相关的细菌、真菌及重要的耐药基因等43种靶标的检测方式。</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rPr>
              <w:t>使用“港澳药械通”试剂盒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7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250700XXX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高敏乙型肝炎核糖核酸定量检测（RNA捕获探针法）</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含样本预处理、全自动化核酸提取、RNA捕获探针法检测、内标定量， 判断并审核结果，发送报告。</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聚焦超声治疗术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在操作部位均匀涂抹耦合剂，拉平皮肤由深到浅的进行不同深度的定点模式和滑动模式治疗头的联合治疗。利用超声波能量精准加热皮下SMAS筋膜层、真皮层、脂肪组织，从而达到缓解疼痛、促进受损组织恢复正常功能。治疗结束根据皮肤需要进行冰敷20-30分钟。</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部位</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310100XXX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磁共振引导聚焦超声颅内治疗</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在磁共振成像系统（MRI）的实时监控和可视引导下，将聚焦超声能量以非侵入性方式通过完整的颅骨作用于脑组织，靶向热消融大脑中导致运动障碍症状的指定区域，用于治疗药物难治性特发性震颤或以震颤为主的帕金森病。</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3103XXXXX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眼前节光学相干断层扫描（AS-OCT）</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眼前节组织的断层截面结构并能对角膜，前房和房角,人工晶体（前房型和后房型）进行定量分析。</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只</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310403XXX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鼻咽喉镜检查</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鼻咽、口腔、下咽黏膜表面麻醉，电子鼻咽喉镜经鼻腔进入，检查双侧鼻腔、鼻咽腔、口咽腔、喉咽腔及喉腔情况，是否有肿物、异物或其他情况。人工报告。不含活检。</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310513XXX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数字化牙周电子压力探针检查</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使用电子压力探针系统，检查并记录全口牙周状况。</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一次性使用探针头</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每次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仅限使用电子压力探针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44</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310605XXX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噬菌体移植</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根据临床需求和提供的耐药菌，筛选、纯化、制备高纯度噬菌体制剂，用于临床环境耐药菌消杀，肺部雾化治疗、内外表明细菌感染的冲洗</w:t>
            </w:r>
            <w:bookmarkStart w:id="0" w:name="_GoBack"/>
            <w:bookmarkEnd w:id="0"/>
            <w:r>
              <w:rPr>
                <w:rFonts w:hint="eastAsia" w:ascii="宋体" w:hAnsi="宋体" w:eastAsia="宋体" w:cs="宋体"/>
                <w:i w:val="0"/>
                <w:color w:val="auto"/>
                <w:kern w:val="0"/>
                <w:sz w:val="20"/>
                <w:szCs w:val="20"/>
                <w:u w:val="none"/>
                <w:lang w:val="en-US" w:eastAsia="zh-CN" w:bidi="ar"/>
              </w:rPr>
              <w:t>以及针对全身细菌感染的静脉注射。</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一次性使用雾化器</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根据临床提供的分离自医院环境或者患者感染部位的耐药菌，从构建的噬菌体库中筛选具有强杀菌活力的噬菌体完成噬菌体细菌移植。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310800XXX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外周血干细胞采集物T细胞抗原受体（TCR）αβ-T细胞及血细胞分化簇抗原（CD）45RA阳性细胞清除术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指用于异基因造血干细胞移植，通过精准去除移植物中TCRαβ+ T细胞以及CD19+B细胞，避免GVHD和PTLD的发生；CD45RA去除可以保留移植物中的记忆性T细胞、效应性T细胞以及NK细胞等有效成分，充分发挥移植物的GVL效应并达到预防感染之目的。含免疫磁珠法细胞分选和流式细胞术检测。</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使用“港澳药械通”试剂与设备</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46</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320200XXX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经皮肺动脉球囊扩张成形术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含穿刺股静脉，在血管造影机透视下送入导管至肺动脉分支狭窄近、远端，行球囊扩张，通过扩张球囊达到扩张狭窄血管的目的。</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球囊</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47</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320600XXX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智经皮瘤体内注射凝血酶栓塞假性动脉瘤</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含超声定位及指导，局部麻醉，小型注射器注射凝血酶进入假性动脉瘤的瘤体内，到达封闭瘤体的目的。</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330000XXX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荧光染色导航加收</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术前或术中静脉注射荧光造影剂吲哚菁绿, ICG进入机体后肿瘤细胞代谢慢，通过荧光导航系统探测发光的ICG，在术中精确查找到癌变组织，确定肿瘤边界和手术切除范围。含造影剂。</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49</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330000XXX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术中使用电磁导航系统加收</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应用电磁导航系统，对术中采集定位图像，术中图像注册，手术工具连接指示追踪，以三维立体图像显示在屏幕上，达到精准的手术目的。</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330201XXX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神经电刺激及脉冲发生器植入术及术后程控（VNS）</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通过置入脉冲发生器刺激迷走神经等治疗药物难治性癫痫患者，含术后程控。</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迷走神经刺激器组件、电极导线组件</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3304XXXXX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眼部硅胶/硅海绵去除术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局麻或全麻下去除眼部暴露或排斥的硅胶/硅海绵。</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52</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330601XXX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术中导航引导加收</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利用计算机在数字头像处理及高精度测量方面的优势，通过X线、CT、MRI等提供的图像信息，直观显示肉眼无法直接看到的人体结构和手术器械，结合立体定位技术、进行复杂精确的手术。主要涉及内镜鼻窦手术、颅底手术、微创内镜侧颅底、耳显微及耳神经外科手术。</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导航刀头、追踪器、双面胶</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53</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330804XXX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主动脉窦成型术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适用于升主动脉窦瘤，主动脉夹层动脉瘤等疾病的外科手术治疗。通过主动脉窦部成形，可避免主动脉瓣置换，减少主动脉瓣置换术抗凝等相关并发症。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54</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331602XXX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施源器置入</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在专用操作间，对患者摆位，体位固定，检查，麻醉，消毒铺巾，在人体腔内或管内放置专用施源器并固定。含浅表部位或术中靶区施源器的置入术。</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55</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340100XXX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脊柱健康评估</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含静态体征、运动模式、体质能力等方面进行定性、定量评估分析。</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56</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340200XXX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缺血预适应治疗</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本项目利用远隔缺血预适应技术原理，通过对上肢局部给予加压，引起肢体局部轻度、短暂、重复缺血，诱导机体组织或细胞的内源性抗缺血、缺氧的保护机制，使脑或心脏等重要器官对未来致死性缺血损伤（脑卒中、心肌梗死）的耐受力增强，用于缺血性脑卒中患者及高危人群的预防和治疗。</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57</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430000XXX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龙砂开阖枢六气针法</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将《素问?阴阳离合论》所述三阴三阳六种阴阳象态，及其开阖枢变化，投射于古太极图中，结合《伤寒论》六经病欲解时理念，以作出“顾氏三阴三阳太极时相图”为理论基础，根据患儿的出生日期、体质格局、发病症象及当下就诊情况推演出五运六气格局，辨出三阴三阳病机，把握病机，在人体以任意一点为中心作出三阴三阳开阖表变化的圆（以大椎穴或百会穴或神阙穴为圆心），根据病机在相应部位进行针刺。</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拟不通过</w:t>
            </w:r>
          </w:p>
        </w:tc>
      </w:tr>
    </w:tbl>
    <w:p>
      <w:pPr>
        <w:jc w:val="left"/>
        <w:rPr>
          <w:rFonts w:hint="eastAsia" w:ascii="黑体" w:hAnsi="黑体" w:eastAsia="黑体" w:cs="黑体"/>
          <w:sz w:val="44"/>
          <w:szCs w:val="44"/>
          <w:lang w:val="en-US" w:eastAsia="zh-CN"/>
        </w:rPr>
      </w:pPr>
    </w:p>
    <w:sectPr>
      <w:footerReference r:id="rId3" w:type="default"/>
      <w:pgSz w:w="16838" w:h="11906" w:orient="landscape"/>
      <w:pgMar w:top="1587" w:right="2098" w:bottom="1474"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小标宋_GBK">
    <w:panose1 w:val="03000509000000000000"/>
    <w:charset w:val="86"/>
    <w:family w:val="auto"/>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JIJGtD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4868545</wp:posOffset>
              </wp:positionH>
              <wp:positionV relativeFrom="paragraph">
                <wp:posOffset>-125730</wp:posOffset>
              </wp:positionV>
              <wp:extent cx="748030" cy="280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48030" cy="280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3.35pt;margin-top:-9.9pt;height:22.05pt;width:58.9pt;mso-position-horizontal-relative:margin;z-index:251659264;mso-width-relative:page;mso-height-relative:page;" filled="f" stroked="f" coordsize="21600,21600" o:gfxdata="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">
              <v:fill on="f" focussize="0,0"/>
              <v:stroke on="f" weight="0.5pt"/>
              <v:imagedata o:title=""/>
              <o:lock v:ext="edit" aspectratio="f"/>
              <v:textbox inset="0mm,0mm,0mm,0mm">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lNjA5ZWFiM2FjNWM5NDNhMmQ3MjQyMTU2MjQyNGEifQ=="/>
  </w:docVars>
  <w:rsids>
    <w:rsidRoot w:val="35C45234"/>
    <w:rsid w:val="00F603E6"/>
    <w:rsid w:val="0209266A"/>
    <w:rsid w:val="06A505C1"/>
    <w:rsid w:val="06FD2D6F"/>
    <w:rsid w:val="082462F3"/>
    <w:rsid w:val="0D7D7815"/>
    <w:rsid w:val="1299716E"/>
    <w:rsid w:val="160174B8"/>
    <w:rsid w:val="18CB0988"/>
    <w:rsid w:val="19A57683"/>
    <w:rsid w:val="1C3C4D31"/>
    <w:rsid w:val="1D103492"/>
    <w:rsid w:val="1DFD54FF"/>
    <w:rsid w:val="21597131"/>
    <w:rsid w:val="21EB2652"/>
    <w:rsid w:val="2577240D"/>
    <w:rsid w:val="263970DD"/>
    <w:rsid w:val="28F85569"/>
    <w:rsid w:val="29CD2D65"/>
    <w:rsid w:val="2CA568F2"/>
    <w:rsid w:val="2F180B46"/>
    <w:rsid w:val="2F300262"/>
    <w:rsid w:val="309C6DAC"/>
    <w:rsid w:val="310516E5"/>
    <w:rsid w:val="32193138"/>
    <w:rsid w:val="32A915AC"/>
    <w:rsid w:val="3381734C"/>
    <w:rsid w:val="35C45234"/>
    <w:rsid w:val="3982147F"/>
    <w:rsid w:val="39A97CF6"/>
    <w:rsid w:val="39D878FE"/>
    <w:rsid w:val="3A374296"/>
    <w:rsid w:val="3AC53563"/>
    <w:rsid w:val="3FCDC2B0"/>
    <w:rsid w:val="40E544CF"/>
    <w:rsid w:val="45283A02"/>
    <w:rsid w:val="460C5F71"/>
    <w:rsid w:val="46DC06FB"/>
    <w:rsid w:val="48FB00A2"/>
    <w:rsid w:val="4BC53ED0"/>
    <w:rsid w:val="4BCD0C9C"/>
    <w:rsid w:val="54AE3152"/>
    <w:rsid w:val="55533907"/>
    <w:rsid w:val="57C1733C"/>
    <w:rsid w:val="5DCE2A95"/>
    <w:rsid w:val="5E3BD923"/>
    <w:rsid w:val="5E817A90"/>
    <w:rsid w:val="5F2038C9"/>
    <w:rsid w:val="5F33403F"/>
    <w:rsid w:val="60A7571B"/>
    <w:rsid w:val="65A12B86"/>
    <w:rsid w:val="67160C83"/>
    <w:rsid w:val="67D7B58D"/>
    <w:rsid w:val="6841330B"/>
    <w:rsid w:val="692F292B"/>
    <w:rsid w:val="6D070B38"/>
    <w:rsid w:val="6DD3062F"/>
    <w:rsid w:val="6E095142"/>
    <w:rsid w:val="6E0A4FC7"/>
    <w:rsid w:val="6FA47235"/>
    <w:rsid w:val="72031D92"/>
    <w:rsid w:val="73027D53"/>
    <w:rsid w:val="7385111B"/>
    <w:rsid w:val="74B411E1"/>
    <w:rsid w:val="764C739E"/>
    <w:rsid w:val="773B3353"/>
    <w:rsid w:val="7BFE1933"/>
    <w:rsid w:val="7C2017E8"/>
    <w:rsid w:val="7D0B2EDE"/>
    <w:rsid w:val="7EB57213"/>
    <w:rsid w:val="7F5F8A35"/>
    <w:rsid w:val="7FDA3E6C"/>
    <w:rsid w:val="7FEF3C07"/>
    <w:rsid w:val="7FFA7216"/>
    <w:rsid w:val="7FFF08A1"/>
    <w:rsid w:val="9DF78A07"/>
    <w:rsid w:val="BF3D95E6"/>
    <w:rsid w:val="BF3EE914"/>
    <w:rsid w:val="BFFDDEEA"/>
    <w:rsid w:val="DFBFE106"/>
    <w:rsid w:val="EF3DC35C"/>
    <w:rsid w:val="EFFE89B1"/>
    <w:rsid w:val="FAD7D724"/>
    <w:rsid w:val="FF8FAA55"/>
    <w:rsid w:val="FFB2165F"/>
    <w:rsid w:val="FFDE86FE"/>
    <w:rsid w:val="FFFF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font51"/>
    <w:basedOn w:val="7"/>
    <w:qFormat/>
    <w:uiPriority w:val="0"/>
    <w:rPr>
      <w:rFonts w:hint="eastAsia" w:ascii="仿宋_GB2312" w:eastAsia="仿宋_GB2312" w:cs="仿宋_GB2312"/>
      <w:color w:val="000000"/>
      <w:sz w:val="22"/>
      <w:szCs w:val="22"/>
      <w:u w:val="none"/>
    </w:rPr>
  </w:style>
  <w:style w:type="character" w:customStyle="1" w:styleId="10">
    <w:name w:val="font41"/>
    <w:basedOn w:val="7"/>
    <w:qFormat/>
    <w:uiPriority w:val="0"/>
    <w:rPr>
      <w:rFonts w:hint="eastAsia" w:ascii="仿宋_GB2312" w:eastAsia="仿宋_GB2312" w:cs="仿宋_GB2312"/>
      <w:color w:val="000000"/>
      <w:sz w:val="22"/>
      <w:szCs w:val="22"/>
      <w:u w:val="none"/>
    </w:rPr>
  </w:style>
  <w:style w:type="character" w:customStyle="1" w:styleId="11">
    <w:name w:val="font151"/>
    <w:basedOn w:val="7"/>
    <w:qFormat/>
    <w:uiPriority w:val="0"/>
    <w:rPr>
      <w:rFonts w:hint="eastAsia" w:ascii="仿宋_GB2312" w:eastAsia="仿宋_GB2312" w:cs="仿宋_GB2312"/>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5957</Words>
  <Characters>6718</Characters>
  <Lines>0</Lines>
  <Paragraphs>0</Paragraphs>
  <TotalTime>2</TotalTime>
  <ScaleCrop>false</ScaleCrop>
  <LinksUpToDate>false</LinksUpToDate>
  <CharactersWithSpaces>6763</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2020-11-23T22:33:00Z</dcterms:created>
  <dc:creator>庹世静</dc:creator>
  <cp:lastModifiedBy>相格格</cp:lastModifiedBy>
  <cp:lastPrinted>2022-10-01T08:53:00Z</cp:lastPrinted>
  <dcterms:modified xsi:type="dcterms:W3CDTF">2023-03-16T09:53:34Z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0B761FA185BA4D9B8F5E7EE5047B0E2C</vt:lpwstr>
  </property>
</Properties>
</file>