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val="0"/>
        <w:bidi w:val="0"/>
        <w:adjustRightInd/>
        <w:snapToGrid/>
        <w:spacing w:line="560" w:lineRule="exact"/>
        <w:jc w:val="both"/>
        <w:textAlignment w:val="auto"/>
        <w:outlineLvl w:val="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outlineLvl w:val="0"/>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新增医疗服务价格项目申报要求</w:t>
      </w:r>
    </w:p>
    <w:bookmarkEnd w:id="0"/>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outlineLvl w:val="0"/>
        <w:rPr>
          <w:rFonts w:hint="eastAsia" w:ascii="方正小标宋_GBK" w:hAnsi="方正小标宋_GBK" w:eastAsia="方正小标宋_GBK" w:cs="方正小标宋_GBK"/>
          <w:color w:val="auto"/>
          <w:sz w:val="44"/>
          <w:szCs w:val="44"/>
          <w:u w:val="none"/>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left"/>
        <w:textAlignment w:val="auto"/>
        <w:outlineLvl w:val="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一、属于下列情形的项目，请</w:t>
      </w:r>
      <w:r>
        <w:rPr>
          <w:rFonts w:hint="eastAsia" w:ascii="黑体" w:hAnsi="黑体" w:eastAsia="黑体" w:cs="黑体"/>
          <w:b/>
          <w:bCs/>
          <w:color w:val="auto"/>
          <w:sz w:val="32"/>
          <w:szCs w:val="32"/>
          <w:u w:val="none"/>
          <w:lang w:val="en-US" w:eastAsia="zh-CN"/>
        </w:rPr>
        <w:t>勿</w:t>
      </w:r>
      <w:r>
        <w:rPr>
          <w:rFonts w:hint="eastAsia" w:ascii="黑体" w:hAnsi="黑体" w:eastAsia="黑体" w:cs="黑体"/>
          <w:color w:val="auto"/>
          <w:sz w:val="32"/>
          <w:szCs w:val="32"/>
          <w:u w:val="none"/>
          <w:lang w:val="en-US" w:eastAsia="zh-CN"/>
        </w:rPr>
        <w:t>申报：</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（一）属于非医疗活动的，包括但不限于教育培训、科研随访、数据处理、资料复制、便民服务、生活照料、精神慰藉、养生保健等。</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（二）属于医疗活动，但服务和收费的性质属于公共卫生服务、行政事业性收费、经营服务性收费，或医疗机构代收费的。</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（三）属于医疗活动，但仅发生于医疗机构之间、医疗机构与其他机构之间，不直接面向患者的服务。</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）属于临床试验阶段，技术尚不成熟，或落后的、已被淘汰的项目。</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）属于拆解、拼接、组合全省统一医疗服务价格项目。</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六</w:t>
      </w:r>
      <w:r>
        <w:rPr>
          <w:rFonts w:hint="eastAsia" w:ascii="仿宋_GB2312" w:hAnsi="仿宋_GB2312" w:eastAsia="仿宋_GB2312" w:cs="仿宋_GB2312"/>
          <w:color w:val="auto"/>
          <w:sz w:val="32"/>
          <w:szCs w:val="32"/>
          <w:u w:val="none"/>
        </w:rPr>
        <w:t>）项目名称不规范，没有项目内涵或内涵不清晰，变更全省统一医疗服务价格项目名称、内涵。</w:t>
      </w:r>
    </w:p>
    <w:p>
      <w:pPr>
        <w:keepNext w:val="0"/>
        <w:keepLines w:val="0"/>
        <w:pageBreakBefore w:val="0"/>
        <w:widowControl w:val="0"/>
        <w:kinsoku/>
        <w:wordWrap/>
        <w:overflowPunct/>
        <w:topLinePunct w:val="0"/>
        <w:autoSpaceDE/>
        <w:bidi w:val="0"/>
        <w:adjustRightInd/>
        <w:snapToGrid/>
        <w:spacing w:line="560" w:lineRule="exact"/>
        <w:ind w:firstLine="648"/>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七</w:t>
      </w:r>
      <w:r>
        <w:rPr>
          <w:rFonts w:hint="eastAsia" w:ascii="仿宋_GB2312" w:hAnsi="仿宋_GB2312" w:eastAsia="仿宋_GB2312" w:cs="仿宋_GB2312"/>
          <w:color w:val="auto"/>
          <w:sz w:val="32"/>
          <w:szCs w:val="32"/>
          <w:u w:val="none"/>
        </w:rPr>
        <w:t>）虽然使用新技术、新设备、新试剂等，但诊疗目的、内容与全省统一医疗服务价格项目内的项目一致，诊疗效果无明显提高，成本上升较大，不符合卫生经济学要求的。</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eastAsia="zh-CN"/>
        </w:rPr>
        <w:t>八</w:t>
      </w:r>
      <w:r>
        <w:rPr>
          <w:rFonts w:hint="eastAsia" w:ascii="仿宋_GB2312" w:hAnsi="仿宋_GB2312" w:eastAsia="仿宋_GB2312" w:cs="仿宋_GB2312"/>
          <w:color w:val="auto"/>
          <w:sz w:val="32"/>
          <w:szCs w:val="32"/>
          <w:u w:val="none"/>
        </w:rPr>
        <w:t>）被相关职能部门取消或废止的项目。</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九</w:t>
      </w:r>
      <w:r>
        <w:rPr>
          <w:rFonts w:hint="eastAsia" w:ascii="仿宋_GB2312" w:hAnsi="仿宋_GB2312" w:eastAsia="仿宋_GB2312" w:cs="仿宋_GB2312"/>
          <w:color w:val="auto"/>
          <w:sz w:val="32"/>
          <w:szCs w:val="32"/>
          <w:u w:val="none"/>
        </w:rPr>
        <w:t>）其他违反法律法规和政策的项目。</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val="en-US" w:eastAsia="zh-CN"/>
        </w:rPr>
        <w:t>二、申报</w:t>
      </w:r>
      <w:r>
        <w:rPr>
          <w:rFonts w:hint="eastAsia" w:ascii="黑体" w:hAnsi="黑体" w:eastAsia="黑体" w:cs="黑体"/>
          <w:color w:val="auto"/>
          <w:sz w:val="32"/>
          <w:szCs w:val="32"/>
          <w:u w:val="none"/>
        </w:rPr>
        <w:t>材料</w:t>
      </w:r>
      <w:r>
        <w:rPr>
          <w:rFonts w:hint="eastAsia" w:ascii="黑体" w:hAnsi="黑体" w:eastAsia="黑体" w:cs="黑体"/>
          <w:color w:val="auto"/>
          <w:sz w:val="32"/>
          <w:szCs w:val="32"/>
          <w:u w:val="none"/>
          <w:lang w:eastAsia="zh-CN"/>
        </w:rPr>
        <w:t>（</w:t>
      </w:r>
      <w:r>
        <w:rPr>
          <w:rFonts w:hint="eastAsia" w:ascii="黑体" w:hAnsi="黑体" w:eastAsia="黑体" w:cs="黑体"/>
          <w:color w:val="auto"/>
          <w:sz w:val="32"/>
          <w:szCs w:val="32"/>
          <w:u w:val="none"/>
          <w:lang w:val="en-US" w:eastAsia="zh-CN"/>
        </w:rPr>
        <w:t>提交材料时须按下列顺序排列</w:t>
      </w:r>
      <w:r>
        <w:rPr>
          <w:rFonts w:hint="eastAsia" w:ascii="黑体" w:hAnsi="黑体" w:eastAsia="黑体" w:cs="黑体"/>
          <w:color w:val="auto"/>
          <w:sz w:val="32"/>
          <w:szCs w:val="32"/>
          <w:u w:val="none"/>
          <w:lang w:eastAsia="zh-CN"/>
        </w:rPr>
        <w:t>）</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（一）《新增医疗服务价格项目申报表》</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《医疗服务价格项目成本测算表》</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三</w:t>
      </w:r>
      <w:r>
        <w:rPr>
          <w:rFonts w:hint="eastAsia" w:ascii="仿宋_GB2312" w:hAnsi="仿宋_GB2312" w:eastAsia="仿宋_GB2312" w:cs="仿宋_GB2312"/>
          <w:color w:val="auto"/>
          <w:sz w:val="32"/>
          <w:szCs w:val="32"/>
          <w:u w:val="none"/>
        </w:rPr>
        <w:t>）项目所使用的主要技术安全性、有效性证明材料，属</w:t>
      </w:r>
      <w:r>
        <w:rPr>
          <w:rFonts w:hint="eastAsia" w:ascii="仿宋_GB2312" w:hAnsi="仿宋_GB2312" w:eastAsia="仿宋_GB2312" w:cs="仿宋_GB2312"/>
          <w:color w:val="auto"/>
          <w:sz w:val="32"/>
          <w:szCs w:val="32"/>
          <w:u w:val="none"/>
          <w:lang w:eastAsia="zh-CN"/>
        </w:rPr>
        <w:t>限制类</w:t>
      </w:r>
      <w:r>
        <w:rPr>
          <w:rFonts w:hint="eastAsia" w:ascii="仿宋_GB2312" w:hAnsi="仿宋_GB2312" w:eastAsia="仿宋_GB2312" w:cs="仿宋_GB2312"/>
          <w:color w:val="auto"/>
          <w:sz w:val="32"/>
          <w:szCs w:val="32"/>
          <w:u w:val="none"/>
        </w:rPr>
        <w:t>医疗技术，须提供卫生行政部门同意备案的材料。</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）项目涉及大型医用设备检查治疗的，须提供该设备的配置</w:t>
      </w:r>
      <w:r>
        <w:rPr>
          <w:rFonts w:hint="eastAsia" w:ascii="仿宋_GB2312" w:hAnsi="仿宋_GB2312" w:eastAsia="仿宋_GB2312" w:cs="仿宋_GB2312"/>
          <w:color w:val="auto"/>
          <w:sz w:val="32"/>
          <w:szCs w:val="32"/>
          <w:u w:val="none"/>
          <w:lang w:eastAsia="zh-CN"/>
        </w:rPr>
        <w:t>许可证材料</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涉及</w:t>
      </w:r>
      <w:r>
        <w:rPr>
          <w:rFonts w:hint="eastAsia" w:ascii="仿宋_GB2312" w:hAnsi="仿宋_GB2312" w:eastAsia="仿宋_GB2312" w:cs="仿宋_GB2312"/>
          <w:color w:val="auto"/>
          <w:sz w:val="32"/>
          <w:szCs w:val="32"/>
          <w:u w:val="none"/>
        </w:rPr>
        <w:t>使用医疗器械</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，须提供该医疗器械的注册</w:t>
      </w:r>
      <w:r>
        <w:rPr>
          <w:rFonts w:hint="eastAsia" w:ascii="仿宋_GB2312" w:hAnsi="仿宋_GB2312" w:eastAsia="仿宋_GB2312" w:cs="仿宋_GB2312"/>
          <w:color w:val="auto"/>
          <w:sz w:val="32"/>
          <w:szCs w:val="32"/>
          <w:u w:val="none"/>
          <w:lang w:eastAsia="zh-CN"/>
        </w:rPr>
        <w:t>或备案</w:t>
      </w:r>
      <w:r>
        <w:rPr>
          <w:rFonts w:hint="eastAsia" w:ascii="仿宋_GB2312" w:hAnsi="仿宋_GB2312" w:eastAsia="仿宋_GB2312" w:cs="仿宋_GB2312"/>
          <w:color w:val="auto"/>
          <w:sz w:val="32"/>
          <w:szCs w:val="32"/>
          <w:u w:val="none"/>
        </w:rPr>
        <w:t>材料。</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六</w:t>
      </w:r>
      <w:r>
        <w:rPr>
          <w:rFonts w:hint="eastAsia" w:ascii="仿宋_GB2312" w:hAnsi="仿宋_GB2312" w:eastAsia="仿宋_GB2312" w:cs="仿宋_GB2312"/>
          <w:color w:val="auto"/>
          <w:sz w:val="32"/>
          <w:szCs w:val="32"/>
          <w:u w:val="none"/>
        </w:rPr>
        <w:t>）</w:t>
      </w:r>
      <w:r>
        <w:rPr>
          <w:rStyle w:val="8"/>
          <w:rFonts w:hint="eastAsia" w:ascii="仿宋_GB2312" w:hAnsi="仿宋_GB2312" w:eastAsia="仿宋_GB2312" w:cs="仿宋_GB2312"/>
          <w:color w:val="auto"/>
          <w:sz w:val="32"/>
          <w:szCs w:val="32"/>
          <w:u w:val="none"/>
        </w:rPr>
        <w:t>涉及医疗新技术的，</w:t>
      </w:r>
      <w:r>
        <w:rPr>
          <w:rFonts w:hint="eastAsia" w:ascii="仿宋_GB2312" w:hAnsi="仿宋_GB2312" w:eastAsia="仿宋_GB2312" w:cs="仿宋_GB2312"/>
          <w:color w:val="auto"/>
          <w:sz w:val="32"/>
          <w:szCs w:val="32"/>
          <w:u w:val="none"/>
        </w:rPr>
        <w:t>需提交本医疗机构或第三方非营利性医疗机构出具的项目伦理审查结论。</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七</w:t>
      </w:r>
      <w:r>
        <w:rPr>
          <w:rFonts w:hint="eastAsia" w:ascii="仿宋_GB2312" w:hAnsi="仿宋_GB2312" w:eastAsia="仿宋_GB2312" w:cs="仿宋_GB2312"/>
          <w:color w:val="auto"/>
          <w:sz w:val="32"/>
          <w:szCs w:val="32"/>
          <w:u w:val="none"/>
        </w:rPr>
        <w:t>）新增项目创新性报告，详细说明申报项目</w:t>
      </w:r>
      <w:r>
        <w:rPr>
          <w:rFonts w:hint="eastAsia" w:ascii="仿宋_GB2312" w:hAnsi="仿宋_GB2312" w:eastAsia="仿宋_GB2312" w:cs="仿宋_GB2312"/>
          <w:color w:val="auto"/>
          <w:sz w:val="32"/>
          <w:szCs w:val="32"/>
          <w:u w:val="none"/>
          <w:lang w:val="en-US" w:eastAsia="zh-CN"/>
        </w:rPr>
        <w:t>与同类项目相比较</w:t>
      </w:r>
      <w:r>
        <w:rPr>
          <w:rFonts w:hint="eastAsia" w:ascii="仿宋_GB2312" w:hAnsi="仿宋_GB2312" w:eastAsia="仿宋_GB2312" w:cs="仿宋_GB2312"/>
          <w:color w:val="auto"/>
          <w:sz w:val="32"/>
          <w:szCs w:val="32"/>
          <w:u w:val="none"/>
        </w:rPr>
        <w:t>的创新性、可靠性和必要性。申报项目（含可单独收费耗材）</w:t>
      </w:r>
      <w:r>
        <w:rPr>
          <w:rFonts w:hint="eastAsia" w:ascii="仿宋_GB2312" w:hAnsi="仿宋_GB2312" w:eastAsia="仿宋_GB2312" w:cs="仿宋_GB2312"/>
          <w:color w:val="auto"/>
          <w:sz w:val="32"/>
          <w:szCs w:val="32"/>
          <w:u w:val="none"/>
          <w:lang w:val="en-US" w:eastAsia="zh-CN"/>
        </w:rPr>
        <w:t>的申报</w:t>
      </w:r>
      <w:r>
        <w:rPr>
          <w:rFonts w:hint="eastAsia" w:ascii="仿宋_GB2312" w:hAnsi="仿宋_GB2312" w:eastAsia="仿宋_GB2312" w:cs="仿宋_GB2312"/>
          <w:color w:val="auto"/>
          <w:sz w:val="32"/>
          <w:szCs w:val="32"/>
          <w:u w:val="none"/>
        </w:rPr>
        <w:t>价格5000元以上的，须同时提交卫生经济学评价报告或已开展项目的临床效价比较报告。</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八</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其他材料，例如</w:t>
      </w:r>
      <w:r>
        <w:rPr>
          <w:rFonts w:hint="eastAsia" w:ascii="仿宋_GB2312" w:hAnsi="仿宋_GB2312" w:eastAsia="仿宋_GB2312" w:cs="仿宋_GB2312"/>
          <w:sz w:val="32"/>
          <w:szCs w:val="32"/>
          <w:lang w:val="en-US" w:eastAsia="zh-CN"/>
        </w:rPr>
        <w:t>其他省市开展此项目的情况（开展地区、开展日期、价格、项目内涵等）。</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color w:val="auto"/>
          <w:sz w:val="32"/>
          <w:szCs w:val="32"/>
          <w:u w:val="none"/>
          <w:lang w:eastAsia="zh-CN"/>
        </w:rPr>
        <w:t>《202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年新增医疗服务价格项目汇总表》（</w:t>
      </w:r>
      <w:r>
        <w:rPr>
          <w:rFonts w:hint="eastAsia" w:ascii="仿宋_GB2312" w:hAnsi="仿宋_GB2312" w:eastAsia="仿宋_GB2312" w:cs="仿宋_GB2312"/>
          <w:color w:val="auto"/>
          <w:sz w:val="32"/>
          <w:szCs w:val="32"/>
          <w:u w:val="none"/>
          <w:lang w:val="en-US" w:eastAsia="zh-CN"/>
        </w:rPr>
        <w:t>每家申报单位只填1份，内容必须准确无误</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黑体" w:hAnsi="黑体" w:eastAsia="黑体" w:cs="黑体"/>
          <w:color w:val="auto"/>
          <w:sz w:val="32"/>
          <w:u w:val="none"/>
          <w:lang w:val="en-US" w:eastAsia="zh-CN"/>
        </w:rPr>
      </w:pPr>
      <w:r>
        <w:rPr>
          <w:rFonts w:hint="eastAsia" w:ascii="黑体" w:hAnsi="黑体" w:eastAsia="黑体" w:cs="黑体"/>
          <w:color w:val="auto"/>
          <w:sz w:val="32"/>
          <w:u w:val="none"/>
          <w:lang w:val="en-US" w:eastAsia="zh-CN"/>
        </w:rPr>
        <w:t>三、项目申报注意事项</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eastAsia="仿宋_GB2312"/>
          <w:color w:val="auto"/>
          <w:sz w:val="32"/>
          <w:u w:val="none"/>
          <w:lang w:val="en-US" w:eastAsia="zh-CN"/>
        </w:rPr>
        <w:t>（一）请各非营利性医疗机构认真学习</w:t>
      </w:r>
      <w:r>
        <w:rPr>
          <w:rFonts w:hint="eastAsia" w:ascii="仿宋_GB2312" w:hAnsi="仿宋_GB2312" w:eastAsia="仿宋_GB2312" w:cs="仿宋_GB2312"/>
          <w:color w:val="auto"/>
          <w:sz w:val="32"/>
          <w:szCs w:val="32"/>
          <w:u w:val="none"/>
          <w:lang w:val="en-US" w:eastAsia="zh-CN"/>
        </w:rPr>
        <w:t>《广东省医疗保障局新增医疗服务价格项目管理暂行办法》（粤医保规〔2020〕5号）和《广东省医疗保障局关于公布&lt;广东省基本医疗服务价格项目目录（2021年版）&gt;和&lt;广东省市场调节价医疗服务价格项目目录（2021年版）&gt;有关事项的通知》（粤医保发〔2021〕20号）文件，凡与最新目录内涵一致的项目，请勿申报。</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（二）各医疗机构要建立健全医疗服务项目成本测算制度，要规范新增医疗服务价格项目申报的内部审核流程，经过机构内部审核后再行申报。</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（三）申报单位对申报项目及申报材料的真实性、合法性负责。</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left"/>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（四）提交资质材料时，请把填表说明等无关资料清除掉。</w:t>
      </w:r>
    </w:p>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outlineLvl w:val="0"/>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outlineLvl w:val="0"/>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u w:val="none"/>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u w:val="none"/>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u w:val="none"/>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u w:val="none"/>
        </w:rPr>
      </w:pP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u w:val="none"/>
        </w:rPr>
      </w:pP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outlineLvl w:val="9"/>
        <w:rPr>
          <w:rFonts w:hint="default" w:ascii="黑体" w:hAnsi="黑体" w:eastAsia="黑体" w:cs="黑体"/>
          <w:sz w:val="32"/>
          <w:szCs w:val="32"/>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4881880</wp:posOffset>
              </wp:positionH>
              <wp:positionV relativeFrom="paragraph">
                <wp:posOffset>-71120</wp:posOffset>
              </wp:positionV>
              <wp:extent cx="702945" cy="209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0294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4pt;margin-top:-5.6pt;height:16.5pt;width:55.35pt;mso-position-horizontal-relative:margin;z-index:251659264;mso-width-relative:page;mso-height-relative:page;" filled="f" stroked="f" coordsize="21600,21600" o:gfxdata="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37bdNoAAAAK&#10;AQAADwAAAAAAAAABACAAAAAiAAAAZHJzL2Rvd25yZXYueG1sUEsBAhQAFAAAAAgAh07iQM1J05Ma&#10;AgAAEwQAAA4AAAAAAAAAAQAgAAAAKQEAAGRycy9lMm9Eb2MueG1sUEsFBgAAAAAGAAYAWQEAALUF&#10;AAAAAA==&#10;">
              <v:fill on="f" focussize="0,0"/>
              <v:stroke on="f" weight="0.5pt"/>
              <v:imagedata o:title=""/>
              <o:lock v:ext="edit" aspectratio="f"/>
              <v:textbox inset="0mm,0mm,0mm,0mm">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97CBB"/>
    <w:rsid w:val="039D25F2"/>
    <w:rsid w:val="05714EAD"/>
    <w:rsid w:val="075D0288"/>
    <w:rsid w:val="0822044A"/>
    <w:rsid w:val="087C59CE"/>
    <w:rsid w:val="097848CC"/>
    <w:rsid w:val="0AB31BCE"/>
    <w:rsid w:val="0BA42CA1"/>
    <w:rsid w:val="0C4F6F83"/>
    <w:rsid w:val="0D473714"/>
    <w:rsid w:val="0EE86B9D"/>
    <w:rsid w:val="0F2D3741"/>
    <w:rsid w:val="121C164F"/>
    <w:rsid w:val="144617F8"/>
    <w:rsid w:val="151124E9"/>
    <w:rsid w:val="16244396"/>
    <w:rsid w:val="16512D47"/>
    <w:rsid w:val="169C1DF0"/>
    <w:rsid w:val="16AF4B1D"/>
    <w:rsid w:val="16CA3135"/>
    <w:rsid w:val="195D7555"/>
    <w:rsid w:val="1A0F000F"/>
    <w:rsid w:val="1BA75B35"/>
    <w:rsid w:val="1E795B97"/>
    <w:rsid w:val="26AF6887"/>
    <w:rsid w:val="28C80F1F"/>
    <w:rsid w:val="29526D4A"/>
    <w:rsid w:val="29772F28"/>
    <w:rsid w:val="29C97FE6"/>
    <w:rsid w:val="2A0B5E79"/>
    <w:rsid w:val="2D0037C1"/>
    <w:rsid w:val="2DB57654"/>
    <w:rsid w:val="2EF4081A"/>
    <w:rsid w:val="2F2E2BF5"/>
    <w:rsid w:val="31E5219E"/>
    <w:rsid w:val="33342CF2"/>
    <w:rsid w:val="378425B9"/>
    <w:rsid w:val="39866979"/>
    <w:rsid w:val="3A411E3E"/>
    <w:rsid w:val="3AD41E9B"/>
    <w:rsid w:val="3C436931"/>
    <w:rsid w:val="3CBD79E7"/>
    <w:rsid w:val="3E644CF9"/>
    <w:rsid w:val="40DB7182"/>
    <w:rsid w:val="41424072"/>
    <w:rsid w:val="423B4215"/>
    <w:rsid w:val="433677CC"/>
    <w:rsid w:val="439D00F3"/>
    <w:rsid w:val="45C25BD0"/>
    <w:rsid w:val="47DC1610"/>
    <w:rsid w:val="48B06A1F"/>
    <w:rsid w:val="492233AE"/>
    <w:rsid w:val="4AC253AA"/>
    <w:rsid w:val="4B342350"/>
    <w:rsid w:val="4CCD1426"/>
    <w:rsid w:val="4D5D1B79"/>
    <w:rsid w:val="4DD5781D"/>
    <w:rsid w:val="4F553964"/>
    <w:rsid w:val="4FC9366E"/>
    <w:rsid w:val="50A97CBB"/>
    <w:rsid w:val="522B3610"/>
    <w:rsid w:val="54436C08"/>
    <w:rsid w:val="549F5585"/>
    <w:rsid w:val="559904E8"/>
    <w:rsid w:val="568B5B38"/>
    <w:rsid w:val="5D142612"/>
    <w:rsid w:val="5DC46C5D"/>
    <w:rsid w:val="60813C7D"/>
    <w:rsid w:val="61127F4B"/>
    <w:rsid w:val="61240C16"/>
    <w:rsid w:val="61316BD8"/>
    <w:rsid w:val="63DC1D60"/>
    <w:rsid w:val="657F3CE6"/>
    <w:rsid w:val="65BD3CB2"/>
    <w:rsid w:val="67D21285"/>
    <w:rsid w:val="6AA80D74"/>
    <w:rsid w:val="6B7D4251"/>
    <w:rsid w:val="6CF75A9E"/>
    <w:rsid w:val="6D8234BB"/>
    <w:rsid w:val="6DED7A88"/>
    <w:rsid w:val="6E891A82"/>
    <w:rsid w:val="77364886"/>
    <w:rsid w:val="77BD2D4B"/>
    <w:rsid w:val="783A2966"/>
    <w:rsid w:val="7844423D"/>
    <w:rsid w:val="79D8759B"/>
    <w:rsid w:val="7A172584"/>
    <w:rsid w:val="7AE468DD"/>
    <w:rsid w:val="7BDF6FD3"/>
    <w:rsid w:val="7C981FA9"/>
    <w:rsid w:val="7F1F02D0"/>
    <w:rsid w:val="7F8E55C0"/>
    <w:rsid w:val="7FD6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widowControl w:val="0"/>
      <w:autoSpaceDE w:val="0"/>
      <w:autoSpaceDN w:val="0"/>
    </w:pPr>
    <w:rPr>
      <w:rFonts w:hint="eastAsia" w:ascii="仿宋_GB2312" w:hAnsi="仿宋_GB2312" w:eastAsia="仿宋_GB2312" w:cs="Times New Roman"/>
      <w:sz w:val="22"/>
      <w:lang w:val="en-US" w:eastAsia="en-US"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rPr>
  </w:style>
  <w:style w:type="character" w:styleId="8">
    <w:name w:val="annotation reference"/>
    <w:basedOn w:val="7"/>
    <w:qFormat/>
    <w:uiPriority w:val="0"/>
    <w:rPr>
      <w:sz w:val="21"/>
      <w:szCs w:val="21"/>
    </w:rPr>
  </w:style>
  <w:style w:type="character" w:customStyle="1" w:styleId="9">
    <w:name w:val="font11"/>
    <w:basedOn w:val="7"/>
    <w:qFormat/>
    <w:uiPriority w:val="0"/>
    <w:rPr>
      <w:rFonts w:hint="eastAsia" w:ascii="宋体" w:hAnsi="宋体" w:eastAsia="宋体" w:cs="宋体"/>
      <w:b/>
      <w:color w:val="FF0000"/>
      <w:sz w:val="24"/>
      <w:szCs w:val="24"/>
      <w:u w:val="none"/>
    </w:rPr>
  </w:style>
  <w:style w:type="character" w:customStyle="1" w:styleId="10">
    <w:name w:val="font3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庹世静</dc:creator>
  <cp:lastModifiedBy>王海泊</cp:lastModifiedBy>
  <cp:lastPrinted>2020-12-03T01:50:00Z</cp:lastPrinted>
  <dcterms:modified xsi:type="dcterms:W3CDTF">2021-05-08T09:10:48Z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