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1-6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仿宋_GB2312" w:hAnsi="仿宋_GB2312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医保医师、医保药师信用</w:t>
      </w:r>
      <w:r>
        <w:rPr>
          <w:rFonts w:hint="eastAsia" w:ascii="仿宋_GB2312" w:hAnsi="仿宋_GB2312" w:eastAsia="方正小标宋简体" w:cs="方正小标宋简体"/>
          <w:b w:val="0"/>
          <w:bCs w:val="0"/>
          <w:color w:val="auto"/>
          <w:sz w:val="44"/>
          <w:szCs w:val="44"/>
        </w:rPr>
        <w:t>评价标准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方正小标宋简体" w:cs="方正小标宋简体"/>
          <w:b w:val="0"/>
          <w:bCs w:val="0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医保医师、医保药师的信用评价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实行年度积分管理，每个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自然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年度12分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，一次检查中发现有多种扣分行为的，按最高分扣除，一次检查不予累计。一个自然年度内发生多次同一类扣分行为的，分别进行扣分，具体信用评价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如下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</w:rPr>
        <w:t>一</w:t>
      </w:r>
      <w:r>
        <w:rPr>
          <w:rFonts w:hint="eastAsia" w:ascii="仿宋_GB2312" w:hAnsi="仿宋_GB2312" w:eastAsia="黑体" w:cs="黑体"/>
          <w:color w:val="auto"/>
          <w:sz w:val="32"/>
          <w:szCs w:val="32"/>
          <w:lang w:eastAsia="zh-CN"/>
        </w:rPr>
        <w:t>、医保医师信用评价标准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0" w:name="_Toc9137"/>
      <w:bookmarkStart w:id="1" w:name="_Toc18602"/>
      <w:r>
        <w:rPr>
          <w:rStyle w:val="12"/>
          <w:rFonts w:hint="eastAsia" w:ascii="楷体_GB2312" w:hAnsi="楷体_GB2312" w:eastAsia="楷体_GB2312" w:cs="楷体_GB2312"/>
          <w:b/>
          <w:bCs w:val="0"/>
          <w:color w:val="auto"/>
          <w:szCs w:val="22"/>
          <w:lang w:val="en-US" w:eastAsia="zh-CN"/>
        </w:rPr>
        <w:t>（一）</w:t>
      </w:r>
      <w:bookmarkEnd w:id="0"/>
      <w:bookmarkEnd w:id="1"/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医保医师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有下列行为之一的，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扣1分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未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保证参保人的知情同意权，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使用自费项目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未向参保人或家属征询意见并经其签名同意的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2.经查实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应该医保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记账的项目让参保人自费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的；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以下情形之一且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查实的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金额为一千元以下的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按疾病诊断分组付费（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、按病种分值付费的住院参保人服务时，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经查实存在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提供医疗服务不足的；将不应转诊的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人转出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将未达到出院标准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人催赶出院或改为自费住院的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病历中各类（含会诊开出的）检查、治疗项目，不能提供明细清单的；病历（含血透病历）中未保存参保人社会保障卡复印件或扫描件、未填写“人卡相符”的；参保人使用植入体内的医用材料或千元以上的一次性医用材料，病历中未粘贴其标签条形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给出院参保人带化验、检查、治疗等项目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超医保药品目录以及超出医保政策规定范围用药记账的；超量用药、重复用药、分解处方、给出院参保人超范围、超剂量带药的；为生育保险参保人提供医疗服务时，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将生育保险记账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外的项目予以生育保险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口腔治疗、门诊手术、针灸、康复、推拿、理疗等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治疗项目的治疗记录单上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治疗部位、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治疗医师、治疗时间、参保人签字等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Style w:val="12"/>
          <w:rFonts w:hint="eastAsia" w:ascii="仿宋_GB2312" w:hAnsi="仿宋_GB2312"/>
          <w:b/>
          <w:color w:val="auto"/>
          <w:szCs w:val="22"/>
          <w:lang w:val="en-US" w:eastAsia="zh-CN"/>
        </w:rPr>
      </w:pPr>
      <w:bookmarkStart w:id="2" w:name="_Toc24212"/>
      <w:bookmarkStart w:id="3" w:name="_Toc7439"/>
      <w:r>
        <w:rPr>
          <w:rStyle w:val="12"/>
          <w:rFonts w:hint="eastAsia" w:ascii="仿宋_GB2312" w:hAnsi="仿宋_GB2312" w:eastAsia="楷体_GB2312" w:cs="楷体_GB2312"/>
          <w:b/>
          <w:color w:val="auto"/>
          <w:szCs w:val="2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医保医师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有下列行为之一的，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扣2分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：</w:t>
      </w:r>
    </w:p>
    <w:bookmarkEnd w:id="2"/>
    <w:bookmarkEnd w:id="3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歪曲、曲解医保政策，造成参保人员待遇损失或造成不良影响的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误导宣传、错误解释、损害参保人权益等情况致使病人投诉、上访的，造成群访、缠访或严重影响的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以各种借口推诿参保人（尤其是急、危、重症者）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应该转诊的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人不予转诊的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4.有以下情形之一且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金额为一千元至二千元以下的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按疾病诊断分组付费（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、按病种分值付费的住院参保人服务时，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经查实存在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提供医疗服务不足的；将不应转诊的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人转出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将未达到出院标准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人催赶出院或改为自费住院的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病历中各类（含会诊开出的）检查、治疗项目，不能提供明细清单的；病历（含血透病历）中未保存参保人社会保障卡复印件或扫描件、未填写“人卡相符”的；参保人使用植入体内的医用材料或千元以上的一次性医用材料，病历中未粘贴其标签条形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给出院参保人带化验、检查、治疗等项目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超医保药品目录以及超出医保政策规定范围用药记账的；超量用药、重复用药、分解处方、给出院参保人超范围、超剂量带药的；为生育保险参保人提供医疗服务时，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将生育保险记账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外的项目予以生育保险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口腔治疗、门诊手术、针灸、康复、推拿、理疗等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治疗项目的治疗记录单上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治疗部位、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治疗医师、治疗时间、参保人签字等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相关信息；</w:t>
      </w:r>
      <w:bookmarkStart w:id="4" w:name="_Toc6038"/>
      <w:bookmarkStart w:id="5" w:name="_Toc15222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5.有以下情形之一且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一千元以下的：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非本人社会保障卡发生医保记账的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首次就诊的外伤参保人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告知不予医保记账的情形、医保先行支付政策等相关事项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并签署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告知承诺书，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未核验参保人是否符合计划生育政策的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将不符合住院标准的参保人收入住院治疗的；将门诊费用记入住院收费的；将不符合急、危、重症参保人收住重症监护（ICU、CCU）病房的；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将应该转科治疗的参保人办理出院，再办理住院治疗的；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参保人一次住院的费用分两次或以上分解记账的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治疗单、报告单、实际用药情况与医嘱不相符的；病历记载不清、病历未记载却有收费、重复收费、分解收费的；未按照临床诊断和治疗指南使用诊疗、药品或辅助药品以及使用与疾病无关药品的；未执行《抗菌药物临床应用管理办法》有关规定的;发生过度诊疗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；处方书写、诊疗单据项目填写与电脑录入不相符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违反《深圳市家庭病床管理办法（试行）》规定建床，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将不可以记账的医保范围外项目进行医保记账（包括未经卫生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行政部门认定的诊疗项目）的；将不符合医保偿付范围的疾病进行记账支付的；将低于最高支付标准的床位按最高支付床位标准记账的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Style w:val="12"/>
          <w:rFonts w:hint="eastAsia" w:ascii="仿宋_GB2312" w:hAnsi="仿宋_GB2312"/>
          <w:b/>
          <w:color w:val="auto"/>
          <w:szCs w:val="22"/>
          <w:lang w:val="en-US" w:eastAsia="zh-CN"/>
        </w:rPr>
      </w:pPr>
      <w:r>
        <w:rPr>
          <w:rStyle w:val="12"/>
          <w:rFonts w:hint="eastAsia" w:ascii="仿宋_GB2312" w:hAnsi="仿宋_GB2312" w:eastAsia="楷体_GB2312" w:cs="楷体_GB2312"/>
          <w:b/>
          <w:color w:val="auto"/>
          <w:szCs w:val="2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医保医师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有下列行为之一的，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扣3分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1.有以下情形之一且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千元至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千元以下的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按疾病诊断分组付费（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、按病种分值付费的住院参保人服务时，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经查实存在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提供医疗服务不足的；将不应转诊的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人转出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将未达到出院标准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人催赶出院或改为自费住院的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病历中各类（含会诊开出的）检查、治疗项目，不能提供明细清单的；病历（含血透病历）中未保存参保人社会保障卡复印件或扫描件、未填写“人卡相符”的；参保人使用植入体内的医用材料或千元以上的一次性医用材料，病历中未粘贴其标签条形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给出院参保人带化验、检查、治疗等项目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超医保药品目录以及超出医保政策规定范围用药记账的；超量用药、重复用药、分解处方、给出院参保人超范围、超剂量带药的；为生育保险参保人提供医疗服务时，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将生育保险记账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外的项目予以生育保险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口腔治疗、门诊手术、针灸、康复、推拿、理疗等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治疗项目的治疗记录单上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治疗部位、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治疗医师、治疗时间、参保人签字等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相关信息；</w:t>
      </w:r>
      <w:bookmarkStart w:id="10" w:name="_GoBack"/>
      <w:bookmarkEnd w:id="1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2.有以下情形之一且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一千元至两千元以下的：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非本人社会保障卡发生医保记账的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首次就诊的外伤参保人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告知不予医保记账的情形、医保先行支付政策等相关事项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并签署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告知承诺书，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未核验参保人是否符合计划生育政策的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将不符合住院标准的参保人收入住院治疗的；将门诊费用记入住院收费的；将不符合急、危、重症参保人收住重症监护（ICU、CCU）病房的；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将应该转科治疗的参保人办理出院，再办理住院治疗的；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参保人一次住院的费用分两次或以上分解记账的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治疗单、报告单、实际用药情况与医嘱不相符的；病历记载不清、病历未记载却有收费、重复收费、分解收费的；未按照临床诊断和治疗指南使用诊疗、药品或辅助药品以及使用与疾病无关药品的；未执行《抗菌药物临床应用管理办法》有关规定的;发生过度诊疗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；处方书写、诊疗单据项目填写与电脑录入不相符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违反《深圳市家庭病床管理办法（试行）》规定建床，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将不可以记账的医保范围外项目进行医保记账（包括未经卫生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行政部门认定的诊疗项目）的；将不符合医保偿付范围的疾病进行记账支付的；将低于最高支付标准的床位按最高支付床位标准记账的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Style w:val="12"/>
          <w:rFonts w:hint="eastAsia" w:ascii="仿宋_GB2312" w:hAnsi="仿宋_GB2312" w:eastAsia="楷体_GB2312" w:cs="楷体_GB2312"/>
          <w:b/>
          <w:color w:val="auto"/>
          <w:szCs w:val="22"/>
          <w:lang w:val="en-US" w:eastAsia="zh-CN"/>
        </w:rPr>
        <w:t>（四）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医保医师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有下列行为之一的，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扣5分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有以下情形之一且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两千元至三千元以下的：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非本人社会保障卡发生医保记账的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首次就诊的外伤参保人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告知不予医保记账的情形、医保先行支付政策等相关事项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并签署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告知承诺书，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未核验参保人是否符合计划生育政策的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将不符合住院标准的参保人收入住院治疗的；将门诊费用记入住院收费的；将不符合急、危、重症参保人收住重症监护（ICU、CCU）病房的；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将应该转科治疗的参保人办理出院，再办理住院治疗的；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参保人一次住院的费用分两次或以上分解记账的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治疗单、报告单、实际用药情况与医嘱不相符的；病历记载不清、病历未记载却有收费、重复收费、分解收费的；未按照临床诊断和治疗指南使用诊疗、药品或辅助药品以及使用与疾病无关药品的；未执行《抗菌药物临床应用管理办法》有关规定的;发生过度诊疗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；处方书写、诊疗单据项目填写与电脑录入不相符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违反《深圳市家庭病床管理办法（试行）》规定建床，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将不可以记账的医保范围外项目进行医保记账（包括未经卫生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行政部门认定的诊疗项目）的；将不符合医保偿付范围的疾病进行记账支付的；将低于最高支付标准的床位按最高支付床位标准记账的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Style w:val="12"/>
          <w:rFonts w:hint="eastAsia" w:ascii="仿宋_GB2312" w:hAnsi="仿宋_GB2312" w:eastAsia="楷体_GB2312" w:cs="楷体_GB2312"/>
          <w:b/>
          <w:color w:val="auto"/>
          <w:szCs w:val="22"/>
          <w:lang w:val="en-US" w:eastAsia="zh-CN"/>
        </w:rPr>
        <w:t>（五）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医保医师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有下列行为之一的，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扣6分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留置社会保障卡发生医保记账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非医保医师、冒用其他医保医师、被暂停或终止医保服务协议的医师开具医保处方的；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3.科室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在协议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周期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内累计被查实挂床住院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5人次以上（含5人次）的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经查实以体检名义诱导参保人进行诊疗并提供过度医疗服务的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5.有以下情形之一且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金额为五千元至一万元以下的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按疾病诊断分组付费（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、按病种分值付费的住院参保人服务时，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经查实存在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提供医疗服务不足的；将不应转诊的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人转出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将未达到出院标准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人催赶出院或改为自费住院的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病历中各类（含会诊开出的）检查、治疗项目，不能提供明细清单的；病历（含血透病历）中未保存参保人社会保障卡复印件或扫描件、未填写“人卡相符”的；参保人使用植入体内的医用材料或千元以上的一次性医用材料，病历中未粘贴其标签条形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给出院参保人带化验、检查、治疗等项目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超医保药品目录以及超出医保政策规定范围用药记账的；超量用药、重复用药、分解处方、给出院参保人超范围、超剂量带药的；为生育保险参保人提供医疗服务时，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将生育保险记账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外的项目予以生育保险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口腔治疗、门诊手术、针灸、康复、推拿、理疗等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治疗项目的治疗记录单上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治疗部位、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治疗医师、治疗时间、参保人签字等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Style w:val="12"/>
          <w:rFonts w:hint="eastAsia" w:ascii="仿宋_GB2312" w:hAnsi="仿宋_GB2312" w:eastAsia="楷体_GB2312" w:cs="楷体_GB2312"/>
          <w:b/>
          <w:color w:val="auto"/>
          <w:szCs w:val="22"/>
          <w:lang w:val="en-US" w:eastAsia="zh-CN"/>
        </w:rPr>
        <w:t>（六）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医保医师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有下列行为之一的，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扣8分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有以下情形之一且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金额为三千元至一万元以下的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非本人社会保障卡发生医保记账的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首次就诊的外伤参保人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告知不予医保记账的情形、医保先行支付政策等相关事项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并签署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告知承诺书，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未核验参保人是否符合计划生育政策的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将不符合住院标准的参保人收入住院治疗的；将门诊费用记入住院收费的；将不符合急、危、重症参保人收住重症监护（ICU、CCU）病房的；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将应该转科治疗的参保人办理出院，再办理住院治疗的；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参保人一次住院的费用分两次或以上分解记账的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治疗单、报告单、实际用药情况与医嘱不相符的；病历记载不清、病历未记载却有收费、重复收费、分解收费的；未按照临床诊断和治疗指南使用诊疗、药品或辅助药品以及使用与疾病无关药品的；未执行《抗菌药物临床应用管理办法》有关规定的;发生过度诊疗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；处方书写、诊疗单据项目填写与电脑录入不相符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违反《深圳市家庭病床管理办法（试行）》规定建床，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将不可以记账的医保范围外项目进行医保记账（包括未经卫生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行政部门认定的诊疗项目）的；将不符合医保偿付范围的疾病进行记账支付的；将低于最高支付标准的床位按最高支付床位标准记账的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Style w:val="12"/>
          <w:rFonts w:hint="eastAsia" w:ascii="仿宋_GB2312" w:hAnsi="仿宋_GB2312" w:eastAsia="楷体_GB2312" w:cs="楷体_GB2312"/>
          <w:b/>
          <w:color w:val="auto"/>
          <w:szCs w:val="22"/>
          <w:lang w:val="en-US" w:eastAsia="zh-CN"/>
        </w:rPr>
        <w:t>（七）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医保医师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有下列行为之一的，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扣9分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有以下情形之一且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千元至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万元以下的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按疾病诊断分组付费（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、按病种分值付费的住院参保人服务时，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经查实存在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提供医疗服务不足的；将不应转诊的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人转出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将未达到出院标准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人催赶出院或改为自费住院的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病历中各类（含会诊开出的）检查、治疗项目，不能提供明细清单的；病历（含血透病历）中未保存参保人社会保障卡复印件或扫描件、未填写“人卡相符”的；参保人使用植入体内的医用材料或千元以上的一次性医用材料，病历中未粘贴其标签条形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给出院参保人带化验、检查、治疗等项目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超医保药品目录以及超出医保政策规定范围用药记账的；超量用药、重复用药、分解处方、给出院参保人超范围、超剂量带药的；为生育保险参保人提供医疗服务时，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将生育保险记账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外的项目予以生育保险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口腔治疗、门诊手术、针灸、康复、推拿、理疗等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治疗项目的治疗记录单上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治疗部位、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治疗医师、治疗时间、参保人签字等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Style w:val="12"/>
          <w:rFonts w:hint="eastAsia" w:ascii="仿宋_GB2312" w:hAnsi="仿宋_GB2312" w:eastAsia="楷体_GB2312" w:cs="楷体_GB2312"/>
          <w:b/>
          <w:color w:val="auto"/>
          <w:szCs w:val="22"/>
          <w:lang w:val="en-US" w:eastAsia="zh-CN"/>
        </w:rPr>
        <w:t>（八）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医保医师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有下列行为之一的，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扣10分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有以下情形之一且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一万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元至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万元以下的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非本人社会保障卡发生医保记账的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首次就诊的外伤参保人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告知不予医保记账的情形、医保先行支付政策等相关事项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并签署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告知承诺书，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未核验参保人是否符合计划生育政策的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将不符合住院标准的参保人收入住院治疗的；将门诊费用记入住院收费的；将不符合急、危、重症参保人收住重症监护（ICU、CCU）病房的；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将应该转科治疗的参保人办理出院，再办理住院治疗的；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参保人一次住院的费用分两次或以上分解记账的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治疗单、报告单、实际用药情况与医嘱不相符的；病历记载不清、病历未记载却有收费、重复收费、分解收费的；未按照临床诊断和治疗指南使用诊疗、药品或辅助药品以及使用与疾病无关药品的；未执行《抗菌药物临床应用管理办法》有关规定的;发生过度诊疗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；处方书写、诊疗单据项目填写与电脑录入不相符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违反《深圳市家庭病床管理办法（试行）》规定建床，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将不可以记账的医保范围外项目进行医保记账（包括未经卫生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行政部门认定的诊疗项目）的；将不符合医保偿付范围的疾病进行记账支付的；将低于最高支付标准的床位按最高支付床位标准记账的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</w:pPr>
      <w:r>
        <w:rPr>
          <w:rStyle w:val="12"/>
          <w:rFonts w:hint="eastAsia" w:ascii="仿宋_GB2312" w:hAnsi="仿宋_GB2312" w:eastAsia="楷体_GB2312" w:cs="楷体_GB2312"/>
          <w:b/>
          <w:color w:val="auto"/>
          <w:szCs w:val="22"/>
          <w:lang w:val="en-US" w:eastAsia="zh-CN"/>
        </w:rPr>
        <w:t>（九）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eastAsia="zh-CN"/>
        </w:rPr>
        <w:t>医保医师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有下列行为之一的，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  <w:lang w:val="en-US" w:eastAsia="zh-CN"/>
        </w:rPr>
        <w:t>扣12分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1.有以下情形之一且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查实的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金额为五万元以上的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按疾病诊断分组付费（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DRG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、按病种分值付费的住院参保人服务时，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经查实存在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提供医疗服务不足的；将不应转诊的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人转出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将未达到出院标准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参保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人催赶出院或改为自费住院的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病历中各类（含会诊开出的）检查、治疗项目，不能提供明细清单的；病历（含血透病历）中未保存参保人社会保障卡复印件或扫描件、未填写“人卡相符”的；参保人使用植入体内的医用材料或千元以上的一次性医用材料，病历中未粘贴其标签条形码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给出院参保人带化验、检查、治疗等项目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超医保药品目录以及超出医保政策规定范围用药记账的；超量用药、重复用药、分解处方、给出院参保人超范围、超剂量带药的；为生育保险参保人提供医疗服务时，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将生育保险记账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范围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外的项目予以生育保险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口腔治疗、门诊手术、针灸、康复、推拿、理疗等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治疗项目的治疗记录单上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治疗部位、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治疗医师、治疗时间、参保人签字等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相关信息；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非本人社会保障卡发生医保记账的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首次就诊的外伤参保人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告知不予医保记账的情形、医保先行支付政策等相关事项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并签署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告知承诺书，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未核验参保人是否符合计划生育政策的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导致医保基金损失的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将不符合住院标准的参保人收入住院治疗的；将门诊费用记入住院收费的；将不符合急、危、重症参保人收住重症监护（ICU、CCU）病房的；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将应该转科治疗的参保人办理出院，再办理住院治疗的；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参保人一次住院的费用分两次或以上分解记账的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治疗单、报告单、实际用药情况与医嘱不相符的；病历记载不清、病历未记载却有收费、重复收费、分解收费的；未按照临床诊断和治疗指南使用诊疗、药品或辅助药品以及使用与疾病无关药品的；未执行《抗菌药物临床应用管理办法》有关规定的;发生过度诊疗行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；处方书写、诊疗单据项目填写与电脑录入不相符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违反《深圳市家庭病床管理办法（试行）》规定建床，</w:t>
      </w:r>
      <w:r>
        <w:rPr>
          <w:rFonts w:hint="eastAsia" w:ascii="仿宋_GB2312" w:hAnsi="仿宋_GB2312" w:eastAsia="仿宋_GB2312" w:cs="仿宋_GB2312"/>
          <w:sz w:val="32"/>
          <w:szCs w:val="32"/>
        </w:rPr>
        <w:t>造成医保基金损失的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将不可以记账的医保范围外项目进行医保记账（包括未经卫生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健康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行政部门认定的诊疗项目）的；将不符合医保偿付范围的疾病进行记账支付的；将低于最高支付标准的床位按最高支付床位标准记账的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拒绝、阻挠或不配合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经办机构开展必要监督检查的；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通过伪造医疗文书、财务票据或凭证等方式，虚构医疗服务“假住院、假就诊”骗取医保基金的；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病历造假，即在病历上编造参保人的基本情况和诊疗情况，使病历内容与真实情况不相符的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采取其他违约手段增加医保基金不合理支出，情节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特别严重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其他造成严重后果或重大影响的行为。</w:t>
      </w:r>
    </w:p>
    <w:bookmarkEnd w:id="4"/>
    <w:bookmarkEnd w:id="5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黑体" w:cs="黑体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黑体" w:cs="黑体"/>
          <w:color w:val="auto"/>
          <w:sz w:val="32"/>
          <w:szCs w:val="32"/>
          <w:lang w:eastAsia="zh-CN"/>
        </w:rPr>
        <w:t>二、医保药师信用评价标准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bookmarkStart w:id="6" w:name="_Toc4047"/>
      <w:bookmarkStart w:id="7" w:name="_Toc15999"/>
      <w:r>
        <w:rPr>
          <w:rStyle w:val="12"/>
          <w:rFonts w:hint="eastAsia" w:ascii="仿宋_GB2312" w:hAnsi="仿宋_GB2312" w:eastAsia="楷体_GB2312" w:cs="楷体_GB2312"/>
          <w:b/>
          <w:color w:val="auto"/>
          <w:kern w:val="2"/>
          <w:szCs w:val="22"/>
          <w:lang w:val="en-US" w:eastAsia="zh-CN" w:bidi="ar-SA"/>
        </w:rPr>
        <w:t>（一）</w:t>
      </w:r>
      <w:bookmarkEnd w:id="6"/>
      <w:bookmarkEnd w:id="7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医保药师有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下列行为之一的，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扣1分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留置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押放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参保人社会保障卡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未产生医保记账费用的；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其他违反医保规定或协议约定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但未造成医保基金损失的。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</w:rPr>
      </w:pPr>
      <w:r>
        <w:rPr>
          <w:rStyle w:val="12"/>
          <w:rFonts w:hint="eastAsia" w:ascii="仿宋_GB2312" w:hAnsi="仿宋_GB2312" w:eastAsia="楷体_GB2312" w:cs="楷体_GB2312"/>
          <w:b/>
          <w:color w:val="auto"/>
          <w:kern w:val="2"/>
          <w:szCs w:val="22"/>
          <w:lang w:val="en-US" w:eastAsia="zh-CN" w:bidi="ar-SA"/>
        </w:rPr>
        <w:t>（二）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医保药师有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下列行为之一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扣2分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超量、超限定支付范围或违反用药相关规定发生医保记账的；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  <w:u w:val="none"/>
        </w:rPr>
        <w:t>为参保人提供医保处方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和具有限定支付范围的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  <w:u w:val="none"/>
        </w:rPr>
        <w:t>非处方购药服务时，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无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医保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  <w:u w:val="none"/>
        </w:rPr>
        <w:t>药师进行审核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，发生医保记账的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ascii="仿宋_GB2312" w:hAnsi="仿宋_GB2312" w:eastAsia="仿宋_GB2312"/>
          <w:color w:val="auto"/>
          <w:sz w:val="32"/>
          <w:szCs w:val="32"/>
        </w:rPr>
        <w:t>参保人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未</w:t>
      </w:r>
      <w:r>
        <w:rPr>
          <w:rFonts w:ascii="仿宋_GB2312" w:hAnsi="仿宋_GB2312" w:eastAsia="仿宋_GB2312"/>
          <w:color w:val="auto"/>
          <w:sz w:val="32"/>
          <w:szCs w:val="32"/>
        </w:rPr>
        <w:t>提供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医保</w:t>
      </w:r>
      <w:r>
        <w:rPr>
          <w:rFonts w:ascii="仿宋_GB2312" w:hAnsi="仿宋_GB2312" w:eastAsia="仿宋_GB2312"/>
          <w:color w:val="auto"/>
          <w:sz w:val="32"/>
          <w:szCs w:val="32"/>
        </w:rPr>
        <w:t>定点医疗机构出具的疾病诊断书、病历或有明确诊断的医保处方等疾病证明资料（原件、复印件或影像资料）</w:t>
      </w:r>
      <w:r>
        <w:rPr>
          <w:rFonts w:hint="eastAsia" w:ascii="仿宋_GB2312" w:hAns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对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具有限定支付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范围非处方药</w:t>
      </w:r>
      <w:r>
        <w:rPr>
          <w:rFonts w:hint="eastAsia" w:ascii="仿宋_GB2312" w:hAnsi="仿宋_GB2312" w:eastAsia="仿宋_GB2312"/>
          <w:color w:val="auto"/>
          <w:sz w:val="32"/>
          <w:szCs w:val="32"/>
          <w:lang w:val="en-US" w:eastAsia="zh-CN"/>
        </w:rPr>
        <w:t>进行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医保记账的；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其他违反医保规定或协议约定，造成医保基金损失或参保人经济损失，情节较轻的。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</w:rPr>
      </w:pPr>
      <w:r>
        <w:rPr>
          <w:rStyle w:val="12"/>
          <w:rFonts w:hint="eastAsia" w:ascii="仿宋_GB2312" w:hAnsi="仿宋_GB2312" w:eastAsia="楷体_GB2312" w:cs="楷体_GB2312"/>
          <w:b/>
          <w:color w:val="auto"/>
          <w:kern w:val="2"/>
          <w:szCs w:val="2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医保药师有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下列行为之一的，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扣6分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留置、押放参保人社会保障卡，经查实发生医保记账的；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未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  <w:u w:val="none"/>
        </w:rPr>
        <w:t>认真查验社会保障卡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与购药人是否相符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，导致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eastAsia="zh-CN"/>
        </w:rPr>
        <w:t>医保基金损失的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其他违反医保规定或协议约定，造成医保基金损失或参保人经济损失，情节严重的。</w:t>
      </w:r>
    </w:p>
    <w:p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</w:rPr>
      </w:pPr>
      <w:bookmarkStart w:id="8" w:name="_Toc24081"/>
      <w:bookmarkStart w:id="9" w:name="_Toc19957"/>
      <w:r>
        <w:rPr>
          <w:rStyle w:val="12"/>
          <w:rFonts w:hint="eastAsia" w:ascii="仿宋_GB2312" w:hAnsi="仿宋_GB2312" w:eastAsia="楷体_GB2312" w:cs="楷体_GB2312"/>
          <w:b/>
          <w:color w:val="auto"/>
          <w:kern w:val="2"/>
          <w:szCs w:val="22"/>
          <w:lang w:val="en-US" w:eastAsia="zh-CN" w:bidi="ar-SA"/>
        </w:rPr>
        <w:t>（四）</w:t>
      </w:r>
      <w:bookmarkEnd w:id="8"/>
      <w:bookmarkEnd w:id="9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医保药师有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下列行为之一的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，扣12分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eastAsia="zh-CN"/>
        </w:rPr>
        <w:t>经查实无正当理由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拒绝为符合医保记账条件的参保人医保记账购药或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eastAsia="zh-CN"/>
        </w:rPr>
        <w:t>让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参保人自费购买医保药品的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eastAsia="zh-CN"/>
        </w:rPr>
        <w:t>伪造虚假凭证或串通参保人兑换现金骗取基金的；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以欺诈、虚记费用或者采取其他手段骗取医保基金的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eastAsia="zh-CN"/>
        </w:rPr>
        <w:t>；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3.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无外配处方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或伪造处方进行处方药医保记账的；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存在售卖假药、假器械及其他严重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</w:rPr>
        <w:t>违反法律法规、涉嫌犯罪</w:t>
      </w:r>
      <w:r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  <w:t>的行为</w:t>
      </w: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Times New Roman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其他造成严重后果或重大影响的行为。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/>
          <w:color w:val="auto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26"/>
    <w:rsid w:val="00005CE0"/>
    <w:rsid w:val="002D5AC3"/>
    <w:rsid w:val="00461E26"/>
    <w:rsid w:val="0084746D"/>
    <w:rsid w:val="008F5ED2"/>
    <w:rsid w:val="00A5181B"/>
    <w:rsid w:val="01421702"/>
    <w:rsid w:val="05755F45"/>
    <w:rsid w:val="083C3FDC"/>
    <w:rsid w:val="0D3D7BFD"/>
    <w:rsid w:val="0ECB1619"/>
    <w:rsid w:val="0F783A4E"/>
    <w:rsid w:val="0FF3143D"/>
    <w:rsid w:val="111E4BFD"/>
    <w:rsid w:val="114957FF"/>
    <w:rsid w:val="124412F3"/>
    <w:rsid w:val="13374B5B"/>
    <w:rsid w:val="138568D9"/>
    <w:rsid w:val="151221C2"/>
    <w:rsid w:val="174C6CE1"/>
    <w:rsid w:val="1884177C"/>
    <w:rsid w:val="1CD47B41"/>
    <w:rsid w:val="1E6B1FC3"/>
    <w:rsid w:val="1F9A078D"/>
    <w:rsid w:val="20AF35A9"/>
    <w:rsid w:val="216D12F4"/>
    <w:rsid w:val="218515D2"/>
    <w:rsid w:val="23586255"/>
    <w:rsid w:val="239A5B3A"/>
    <w:rsid w:val="24DF1BD1"/>
    <w:rsid w:val="277279FC"/>
    <w:rsid w:val="29740273"/>
    <w:rsid w:val="29DB3AA1"/>
    <w:rsid w:val="2B210D8D"/>
    <w:rsid w:val="2DC90E89"/>
    <w:rsid w:val="2E1C0299"/>
    <w:rsid w:val="2EA9634C"/>
    <w:rsid w:val="341573DE"/>
    <w:rsid w:val="35650E3A"/>
    <w:rsid w:val="37564A87"/>
    <w:rsid w:val="3949525D"/>
    <w:rsid w:val="3B651203"/>
    <w:rsid w:val="3EDC16F6"/>
    <w:rsid w:val="3FDC2C5A"/>
    <w:rsid w:val="4017777D"/>
    <w:rsid w:val="401A4D09"/>
    <w:rsid w:val="43F8701F"/>
    <w:rsid w:val="44587E31"/>
    <w:rsid w:val="458024B3"/>
    <w:rsid w:val="47836B38"/>
    <w:rsid w:val="498A6437"/>
    <w:rsid w:val="4A4E6222"/>
    <w:rsid w:val="4C1C2425"/>
    <w:rsid w:val="4D3F2438"/>
    <w:rsid w:val="4F72585A"/>
    <w:rsid w:val="502C1219"/>
    <w:rsid w:val="51CD70CD"/>
    <w:rsid w:val="52000887"/>
    <w:rsid w:val="587E1CFC"/>
    <w:rsid w:val="592D34D7"/>
    <w:rsid w:val="5A744EE7"/>
    <w:rsid w:val="5AD839A0"/>
    <w:rsid w:val="5D010C7E"/>
    <w:rsid w:val="6A45320F"/>
    <w:rsid w:val="6A702FC3"/>
    <w:rsid w:val="6E000681"/>
    <w:rsid w:val="70394A83"/>
    <w:rsid w:val="70BC3B56"/>
    <w:rsid w:val="71673712"/>
    <w:rsid w:val="736A1E0C"/>
    <w:rsid w:val="747F48B7"/>
    <w:rsid w:val="77D6024C"/>
    <w:rsid w:val="78B43265"/>
    <w:rsid w:val="78C41460"/>
    <w:rsid w:val="7A555E1C"/>
    <w:rsid w:val="7AA47003"/>
    <w:rsid w:val="7DCE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标题 2 Char"/>
    <w:link w:val="2"/>
    <w:qFormat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325</Words>
  <Characters>1857</Characters>
  <Lines>15</Lines>
  <Paragraphs>4</Paragraphs>
  <TotalTime>18</TotalTime>
  <ScaleCrop>false</ScaleCrop>
  <LinksUpToDate>false</LinksUpToDate>
  <CharactersWithSpaces>2178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2020-05-18T06:53:00Z</dcterms:created>
  <dc:creator>li yuchan</dc:creator>
  <cp:lastModifiedBy>朱礼平</cp:lastModifiedBy>
  <dcterms:modified xsi:type="dcterms:W3CDTF">2020-10-16T10:05:50Z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