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720"/>
        <w:rPr>
          <w:rFonts w:ascii="黑体" w:hAnsi="黑体" w:eastAsia="黑体" w:cs="黑体"/>
          <w:color w:val="auto"/>
          <w:sz w:val="32"/>
          <w:szCs w:val="32"/>
        </w:rPr>
      </w:pPr>
      <w:r>
        <w:rPr>
          <w:rFonts w:hint="eastAsia" w:ascii="黑体" w:hAnsi="黑体" w:eastAsia="黑体" w:cs="黑体"/>
          <w:color w:val="auto"/>
          <w:sz w:val="32"/>
          <w:szCs w:val="32"/>
        </w:rPr>
        <w:t>附件1</w:t>
      </w:r>
    </w:p>
    <w:p>
      <w:pPr>
        <w:spacing w:line="560" w:lineRule="exact"/>
        <w:ind w:right="720"/>
        <w:rPr>
          <w:rFonts w:ascii="黑体" w:hAnsi="黑体" w:eastAsia="黑体" w:cs="黑体"/>
          <w:color w:val="auto"/>
          <w:sz w:val="32"/>
          <w:szCs w:val="32"/>
        </w:rPr>
      </w:pPr>
    </w:p>
    <w:p>
      <w:pPr>
        <w:spacing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深圳市医疗保障信用管理办法</w:t>
      </w:r>
    </w:p>
    <w:p>
      <w:pPr>
        <w:spacing w:line="560" w:lineRule="exact"/>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（征求意见稿）</w:t>
      </w:r>
    </w:p>
    <w:p>
      <w:pPr>
        <w:spacing w:line="560" w:lineRule="exact"/>
        <w:jc w:val="center"/>
        <w:rPr>
          <w:rFonts w:hint="eastAsia" w:ascii="方正小标宋简体" w:hAnsi="方正小标宋简体" w:eastAsia="方正小标宋简体" w:cs="方正小标宋简体"/>
          <w:b w:val="0"/>
          <w:bCs w:val="0"/>
          <w:color w:val="auto"/>
          <w:sz w:val="44"/>
          <w:szCs w:val="44"/>
        </w:rPr>
      </w:pPr>
    </w:p>
    <w:p>
      <w:pPr>
        <w:spacing w:line="560" w:lineRule="exact"/>
        <w:jc w:val="center"/>
        <w:outlineLvl w:val="0"/>
        <w:rPr>
          <w:rFonts w:ascii="黑体" w:hAnsi="黑体" w:eastAsia="黑体" w:cs="黑体"/>
          <w:color w:val="auto"/>
          <w:sz w:val="32"/>
          <w:szCs w:val="32"/>
        </w:rPr>
      </w:pPr>
      <w:r>
        <w:rPr>
          <w:rFonts w:hint="eastAsia" w:ascii="黑体" w:hAnsi="黑体" w:eastAsia="黑体" w:cs="黑体"/>
          <w:color w:val="auto"/>
          <w:sz w:val="32"/>
          <w:szCs w:val="32"/>
        </w:rPr>
        <w:t>第一章 总 则</w:t>
      </w:r>
    </w:p>
    <w:p>
      <w:pPr>
        <w:spacing w:line="560" w:lineRule="exact"/>
        <w:ind w:firstLine="643" w:firstLineChars="200"/>
        <w:rPr>
          <w:rFonts w:ascii="仿宋" w:hAnsi="仿宋" w:eastAsia="仿宋" w:cs="仿宋"/>
          <w:color w:val="auto"/>
          <w:sz w:val="32"/>
          <w:szCs w:val="32"/>
        </w:rPr>
      </w:pPr>
      <w:r>
        <w:rPr>
          <w:rFonts w:hint="eastAsia" w:ascii="仿宋_GB2312" w:hAnsi="仿宋_GB2312" w:eastAsia="仿宋_GB2312" w:cs="仿宋_GB2312"/>
          <w:b/>
          <w:bCs/>
          <w:color w:val="auto"/>
          <w:sz w:val="32"/>
          <w:szCs w:val="32"/>
        </w:rPr>
        <w:t>第一条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b/>
          <w:bCs/>
          <w:color w:val="auto"/>
          <w:sz w:val="32"/>
          <w:szCs w:val="32"/>
        </w:rPr>
        <w:t>【目的依据】</w:t>
      </w:r>
      <w:r>
        <w:rPr>
          <w:rFonts w:hint="eastAsia" w:ascii="仿宋_GB2312" w:hAnsi="仿宋_GB2312" w:eastAsia="仿宋_GB2312" w:cs="仿宋_GB2312"/>
          <w:color w:val="auto"/>
          <w:sz w:val="32"/>
          <w:szCs w:val="32"/>
        </w:rPr>
        <w:t>为加强医疗保障领域信用体系建设，加快构建以信用为核心的新型监管体制，营造公平竞争、诚实守信的市场环境，根据《中共中央 国务院关于深化医疗保障制度改革的意见》（中发〔2020〕5号）、《国务院办公厅关于推进医疗保障基金监管制度体系改革的指导意见》（国办发〔2020〕20号）、《社会信用体系建设规划纲要（2014-2020年）》（国发〔2014〕21号）、《国务院关于建立完善守信联合激励和失信联合惩戒制度加快推进社会诚信建设的指导意见》（国发〔2016〕33号）、《国家医疗保障局关于开展医保基金监管“两试点一示范”工作的通知》</w:t>
      </w:r>
      <w:r>
        <w:rPr>
          <w:rFonts w:hint="eastAsia" w:ascii="仿宋_GB2312" w:hAnsi="仿宋_GB2312" w:eastAsia="仿宋_GB2312" w:cs="仿宋_GB2312"/>
          <w:color w:val="auto"/>
          <w:sz w:val="32"/>
          <w:szCs w:val="32"/>
          <w:lang w:eastAsia="zh-CN"/>
        </w:rPr>
        <w:t>（医保办发 [2019] 17号）、《国家医疗保障局关于建立医药价格和招采信用评价制度的指导意见》（医保发〔2020〕34号）</w:t>
      </w:r>
      <w:r>
        <w:rPr>
          <w:rFonts w:hint="eastAsia" w:ascii="仿宋_GB2312" w:hAnsi="仿宋_GB2312" w:eastAsia="仿宋_GB2312" w:cs="仿宋_GB2312"/>
          <w:color w:val="auto"/>
          <w:sz w:val="32"/>
          <w:szCs w:val="32"/>
        </w:rPr>
        <w:t>等有关规定，结合本市实际，制定本办法。</w:t>
      </w:r>
    </w:p>
    <w:p>
      <w:pPr>
        <w:spacing w:line="56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第二条 【主要内容】</w:t>
      </w:r>
      <w:r>
        <w:rPr>
          <w:rFonts w:hint="eastAsia" w:ascii="仿宋_GB2312" w:hAnsi="仿宋_GB2312" w:eastAsia="仿宋_GB2312" w:cs="仿宋_GB2312"/>
          <w:color w:val="auto"/>
          <w:sz w:val="32"/>
          <w:szCs w:val="32"/>
        </w:rPr>
        <w:t>本办法所称医疗保障信用管理是指市医疗保障行政部门通过采集医疗保障信用主体（以下简称信用主体）的信用信息，对其信用状况作出评价，并据此实施分级分类监管的制度。</w:t>
      </w:r>
    </w:p>
    <w:p>
      <w:pPr>
        <w:spacing w:line="56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第三条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b/>
          <w:bCs/>
          <w:color w:val="auto"/>
          <w:sz w:val="32"/>
          <w:szCs w:val="32"/>
        </w:rPr>
        <w:t>【适用范围】</w:t>
      </w:r>
      <w:r>
        <w:rPr>
          <w:rFonts w:hint="eastAsia" w:ascii="仿宋_GB2312" w:hAnsi="仿宋_GB2312" w:eastAsia="仿宋_GB2312" w:cs="仿宋_GB2312"/>
          <w:color w:val="auto"/>
          <w:sz w:val="32"/>
          <w:szCs w:val="32"/>
        </w:rPr>
        <w:t>本办法适用于本市行政区域内信用主体信用信息的认定、采集、评价、应用及修复等。</w:t>
      </w:r>
    </w:p>
    <w:p>
      <w:pPr>
        <w:spacing w:line="56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第四条 【基金概念】</w:t>
      </w:r>
      <w:r>
        <w:rPr>
          <w:rFonts w:hint="eastAsia" w:ascii="仿宋_GB2312" w:hAnsi="仿宋_GB2312" w:eastAsia="仿宋_GB2312" w:cs="仿宋_GB2312"/>
          <w:color w:val="auto"/>
          <w:sz w:val="32"/>
          <w:szCs w:val="32"/>
        </w:rPr>
        <w:t>本办法所称医疗保障基金（以下简称医保基金）是指基本医疗保险基金、地方补充医疗保险基金、生育保险基金、医疗救助基金等专项基金。</w:t>
      </w:r>
    </w:p>
    <w:p>
      <w:pPr>
        <w:spacing w:line="56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第五条 【信用主体】</w:t>
      </w:r>
      <w:r>
        <w:rPr>
          <w:rFonts w:hint="eastAsia" w:ascii="仿宋_GB2312" w:hAnsi="仿宋_GB2312" w:eastAsia="仿宋_GB2312" w:cs="仿宋_GB2312"/>
          <w:color w:val="auto"/>
          <w:sz w:val="32"/>
          <w:szCs w:val="32"/>
        </w:rPr>
        <w:t>本办法所称的信用主体包括：</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（一）医保经办机构，指本市医疗保障行政部门下属的医保经办机构；</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（二）商保机构，指承接本市医保经办业务的商业保险机构；</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定点医疗机构，指与本市医保经办机构签订服务协议，为本市社会医疗保险参保人提供医疗服务的医疗机构。定点医疗机构下属分支机构单独作为一个信用主体。定点医疗机构内设科室、下属社区健康服务中心和社区医疗服务站等不单独作为一个信用主体，其社会医疗保险服务行为纳入定点医疗机构的信用管理；</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（四）定点零售药店，指与本市医保经办机构签订服务协议，为本市社会医疗保险参保人提供社会医疗保险药品处方外配和非处方药零售服务的医药公司（包括其下属定点零售药店）和单体药店；</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（五）医药企业，指参与本市药品和医用耗材采购交易的</w:t>
      </w:r>
      <w:r>
        <w:rPr>
          <w:rFonts w:hint="eastAsia" w:ascii="仿宋_GB2312" w:hAnsi="仿宋_GB2312" w:eastAsia="仿宋_GB2312" w:cs="仿宋_GB2312"/>
          <w:color w:val="auto"/>
          <w:sz w:val="32"/>
          <w:szCs w:val="32"/>
          <w:shd w:val="clear" w:color="auto" w:fill="FFFFFF"/>
        </w:rPr>
        <w:t>药品和医用耗材生产许可持有人、药品和医用耗材生产企业、与生产企业具有委托代理关系的经销企业，以及配送企业</w:t>
      </w:r>
      <w:r>
        <w:rPr>
          <w:rFonts w:hint="eastAsia" w:ascii="仿宋_GB2312" w:hAnsi="仿宋_GB2312" w:eastAsia="仿宋_GB2312" w:cs="仿宋_GB2312"/>
          <w:color w:val="auto"/>
          <w:sz w:val="32"/>
          <w:szCs w:val="32"/>
        </w:rPr>
        <w:t>；</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（六）用人单位，指本市行政区域内机关、事业单位、社会团体、企业、民办非企业单位、个体经济组织；</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（七）医保医师，指依法取得执业医师资格，在本市定点医疗机构中注册执业并具备处方权，经医保经办机构登记备案、为参保人员提供医疗服务的医务人员；</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（八）医保药师，指具有执业药师资格、药师（含中药师）以上技术职称的药学技术人员，在本市定点零售药店中注册执业，为参保人提供药事服务并已向医保经办机构登记备案；</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（九）参保人，指已参加本市社会医疗保险的人员。</w:t>
      </w:r>
    </w:p>
    <w:p>
      <w:pPr>
        <w:spacing w:line="56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第六条 【责任部门】</w:t>
      </w:r>
      <w:r>
        <w:rPr>
          <w:rFonts w:hint="eastAsia" w:ascii="仿宋_GB2312" w:hAnsi="仿宋_GB2312" w:eastAsia="仿宋_GB2312" w:cs="仿宋_GB2312"/>
          <w:color w:val="auto"/>
          <w:sz w:val="32"/>
          <w:szCs w:val="32"/>
        </w:rPr>
        <w:t>市医疗保障行政部门负责本市医疗保障信用管理的统筹协调、制度建设、标准制定以及业务指导等工作。市医疗保障行政部门指导监督市级药品和医用耗材集中采购机构（</w:t>
      </w:r>
      <w:r>
        <w:rPr>
          <w:rFonts w:hint="eastAsia" w:ascii="仿宋_GB2312" w:hAnsi="仿宋_GB2312" w:eastAsia="仿宋_GB2312" w:cs="仿宋_GB2312"/>
          <w:color w:val="auto"/>
          <w:sz w:val="32"/>
          <w:szCs w:val="32"/>
          <w:lang w:eastAsia="zh-CN"/>
        </w:rPr>
        <w:t>以</w:t>
      </w:r>
      <w:r>
        <w:rPr>
          <w:rFonts w:hint="eastAsia" w:ascii="仿宋_GB2312" w:hAnsi="仿宋_GB2312" w:eastAsia="仿宋_GB2312" w:cs="仿宋_GB2312"/>
          <w:color w:val="auto"/>
          <w:sz w:val="32"/>
          <w:szCs w:val="32"/>
        </w:rPr>
        <w:t>下</w:t>
      </w:r>
      <w:r>
        <w:rPr>
          <w:rFonts w:hint="eastAsia" w:ascii="仿宋_GB2312" w:hAnsi="仿宋_GB2312" w:eastAsia="仿宋_GB2312" w:cs="仿宋_GB2312"/>
          <w:color w:val="auto"/>
          <w:sz w:val="32"/>
          <w:szCs w:val="32"/>
          <w:lang w:eastAsia="zh-CN"/>
        </w:rPr>
        <w:t>简</w:t>
      </w:r>
      <w:r>
        <w:rPr>
          <w:rFonts w:hint="eastAsia" w:ascii="仿宋_GB2312" w:hAnsi="仿宋_GB2312" w:eastAsia="仿宋_GB2312" w:cs="仿宋_GB2312"/>
          <w:color w:val="auto"/>
          <w:sz w:val="32"/>
          <w:szCs w:val="32"/>
        </w:rPr>
        <w:t>称集中采购机构）做好药品、医用耗材生产企业的信用评价工作。</w:t>
      </w:r>
    </w:p>
    <w:p>
      <w:pPr>
        <w:spacing w:line="56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第七条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b/>
          <w:bCs/>
          <w:color w:val="auto"/>
          <w:sz w:val="32"/>
          <w:szCs w:val="32"/>
        </w:rPr>
        <w:t>【管理原则】</w:t>
      </w:r>
      <w:r>
        <w:rPr>
          <w:rFonts w:hint="eastAsia" w:ascii="仿宋_GB2312" w:hAnsi="仿宋_GB2312" w:eastAsia="仿宋_GB2312" w:cs="仿宋_GB2312"/>
          <w:color w:val="auto"/>
          <w:sz w:val="32"/>
          <w:szCs w:val="32"/>
        </w:rPr>
        <w:t>医疗保障信用管理应当遵循合法、客观、公正和审慎原则，保守国家秘密、商业秘密和个人隐私。</w:t>
      </w:r>
    </w:p>
    <w:p>
      <w:pPr>
        <w:spacing w:line="560" w:lineRule="exact"/>
        <w:jc w:val="center"/>
        <w:outlineLvl w:val="0"/>
        <w:rPr>
          <w:rFonts w:ascii="黑体" w:hAnsi="黑体" w:eastAsia="黑体" w:cs="黑体"/>
          <w:color w:val="auto"/>
          <w:sz w:val="32"/>
          <w:szCs w:val="32"/>
        </w:rPr>
      </w:pPr>
      <w:r>
        <w:rPr>
          <w:rFonts w:hint="eastAsia" w:ascii="黑体" w:hAnsi="黑体" w:eastAsia="黑体" w:cs="黑体"/>
          <w:color w:val="auto"/>
          <w:sz w:val="32"/>
          <w:szCs w:val="32"/>
        </w:rPr>
        <w:t>第二章 信用信息的认定和采集</w:t>
      </w:r>
    </w:p>
    <w:p>
      <w:pPr>
        <w:spacing w:line="560" w:lineRule="exact"/>
        <w:ind w:firstLine="643" w:firstLineChars="200"/>
        <w:rPr>
          <w:rFonts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b/>
          <w:bCs/>
          <w:color w:val="auto"/>
          <w:sz w:val="32"/>
          <w:szCs w:val="32"/>
        </w:rPr>
        <w:t>第八条 【信用信息</w:t>
      </w:r>
      <w:r>
        <w:rPr>
          <w:rFonts w:hint="eastAsia" w:ascii="仿宋_GB2312" w:hAnsi="仿宋_GB2312" w:eastAsia="仿宋_GB2312" w:cs="仿宋_GB2312"/>
          <w:color w:val="auto"/>
          <w:sz w:val="32"/>
          <w:szCs w:val="32"/>
        </w:rPr>
        <w:t>】本办法所称信用信息是指本市医疗保障信用主体的信用信息，包括但不限于基本信息、履约评价信息、不良信用信息、信用承诺、信用评价等。</w:t>
      </w:r>
    </w:p>
    <w:p>
      <w:pPr>
        <w:spacing w:line="560" w:lineRule="exact"/>
        <w:ind w:firstLine="643" w:firstLineChars="200"/>
        <w:rPr>
          <w:rFonts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b/>
          <w:bCs/>
          <w:color w:val="auto"/>
          <w:sz w:val="32"/>
          <w:szCs w:val="32"/>
        </w:rPr>
        <w:t>第九条</w:t>
      </w:r>
      <w:r>
        <w:rPr>
          <w:rFonts w:hint="eastAsia" w:ascii="仿宋_GB2312" w:hAnsi="仿宋_GB2312" w:eastAsia="仿宋_GB2312" w:cs="仿宋_GB2312"/>
          <w:color w:val="auto"/>
          <w:kern w:val="0"/>
          <w:sz w:val="32"/>
          <w:szCs w:val="32"/>
          <w:shd w:val="clear" w:color="auto" w:fill="FFFFFF"/>
        </w:rPr>
        <w:t xml:space="preserve"> </w:t>
      </w:r>
      <w:r>
        <w:rPr>
          <w:rFonts w:hint="eastAsia" w:ascii="仿宋_GB2312" w:hAnsi="仿宋_GB2312" w:eastAsia="仿宋_GB2312" w:cs="仿宋_GB2312"/>
          <w:b/>
          <w:bCs/>
          <w:color w:val="auto"/>
          <w:sz w:val="32"/>
          <w:szCs w:val="32"/>
        </w:rPr>
        <w:t>【基本信息】</w:t>
      </w:r>
      <w:r>
        <w:rPr>
          <w:rFonts w:hint="eastAsia" w:ascii="仿宋_GB2312" w:hAnsi="仿宋_GB2312" w:eastAsia="仿宋_GB2312" w:cs="仿宋_GB2312"/>
          <w:color w:val="auto"/>
          <w:kern w:val="0"/>
          <w:sz w:val="32"/>
          <w:szCs w:val="32"/>
          <w:shd w:val="clear" w:color="auto" w:fill="FFFFFF"/>
        </w:rPr>
        <w:t>基本信息是指可用于识别信用主体的身份、能力、经历等特征的信息，基本信息分类如下：</w:t>
      </w:r>
    </w:p>
    <w:p>
      <w:pPr>
        <w:spacing w:line="560" w:lineRule="exact"/>
        <w:ind w:firstLine="640" w:firstLineChars="200"/>
        <w:rPr>
          <w:rFonts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rPr>
        <w:t>（一）医保经办机构、商保机构、定点医疗机构、定点零售药店、医药企业、用人单位等机构的基本信息包括登记许可、资质资格、统一社会信用代码、法定代表人及与身份有关的其他信息；</w:t>
      </w:r>
    </w:p>
    <w:p>
      <w:pPr>
        <w:spacing w:line="560" w:lineRule="exact"/>
        <w:ind w:firstLine="640" w:firstLineChars="200"/>
        <w:rPr>
          <w:rFonts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rPr>
        <w:t>（二）医保医师、医保药师、参保人等自然人的基本信息包括姓名、身份证号码、就业状况、资质资格及与身份有关的其他信息。</w:t>
      </w:r>
    </w:p>
    <w:p>
      <w:pPr>
        <w:spacing w:line="560" w:lineRule="exact"/>
        <w:ind w:firstLine="643" w:firstLineChars="200"/>
        <w:rPr>
          <w:rFonts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b/>
          <w:bCs/>
          <w:color w:val="auto"/>
          <w:sz w:val="32"/>
          <w:szCs w:val="32"/>
        </w:rPr>
        <w:t>第十条</w:t>
      </w:r>
      <w:r>
        <w:rPr>
          <w:rFonts w:hint="eastAsia" w:ascii="仿宋_GB2312" w:hAnsi="仿宋_GB2312" w:eastAsia="仿宋_GB2312" w:cs="仿宋_GB2312"/>
          <w:color w:val="auto"/>
          <w:kern w:val="0"/>
          <w:sz w:val="32"/>
          <w:szCs w:val="32"/>
          <w:shd w:val="clear" w:color="auto" w:fill="FFFFFF"/>
        </w:rPr>
        <w:t xml:space="preserve"> </w:t>
      </w:r>
      <w:r>
        <w:rPr>
          <w:rFonts w:hint="eastAsia" w:ascii="仿宋_GB2312" w:hAnsi="仿宋_GB2312" w:eastAsia="仿宋_GB2312" w:cs="仿宋_GB2312"/>
          <w:b/>
          <w:bCs/>
          <w:color w:val="auto"/>
          <w:sz w:val="32"/>
          <w:szCs w:val="32"/>
        </w:rPr>
        <w:t>【履约评价信息</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0"/>
          <w:sz w:val="32"/>
          <w:szCs w:val="32"/>
          <w:shd w:val="clear" w:color="auto" w:fill="FFFFFF"/>
        </w:rPr>
        <w:t>履约评价信息是指信用主体履行医保协议的信息。</w:t>
      </w:r>
    </w:p>
    <w:p>
      <w:pPr>
        <w:spacing w:line="560" w:lineRule="exact"/>
        <w:ind w:firstLine="643" w:firstLineChars="200"/>
        <w:rPr>
          <w:rFonts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b/>
          <w:bCs/>
          <w:color w:val="auto"/>
          <w:sz w:val="32"/>
          <w:szCs w:val="32"/>
        </w:rPr>
        <w:t>第十一条 【不良信用信息】</w:t>
      </w:r>
      <w:r>
        <w:rPr>
          <w:rFonts w:hint="eastAsia" w:ascii="仿宋_GB2312" w:hAnsi="仿宋_GB2312" w:eastAsia="仿宋_GB2312" w:cs="仿宋_GB2312"/>
          <w:color w:val="auto"/>
          <w:kern w:val="0"/>
          <w:sz w:val="32"/>
          <w:szCs w:val="32"/>
          <w:shd w:val="clear" w:color="auto" w:fill="FFFFFF"/>
        </w:rPr>
        <w:t>不良信用信息是指信用主体违反社会医疗保险相关法律、法规、规章和协议的相关信息。</w:t>
      </w:r>
    </w:p>
    <w:p>
      <w:pPr>
        <w:spacing w:line="56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第十二条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b/>
          <w:bCs/>
          <w:color w:val="auto"/>
          <w:sz w:val="32"/>
          <w:szCs w:val="32"/>
          <w:highlight w:val="none"/>
        </w:rPr>
        <w:t>【信用承诺】</w:t>
      </w:r>
      <w:r>
        <w:rPr>
          <w:rFonts w:hint="eastAsia" w:ascii="仿宋_GB2312" w:hAnsi="仿宋_GB2312" w:eastAsia="仿宋_GB2312" w:cs="仿宋_GB2312"/>
          <w:color w:val="auto"/>
          <w:sz w:val="32"/>
          <w:szCs w:val="32"/>
          <w:highlight w:val="none"/>
        </w:rPr>
        <w:t>信</w:t>
      </w:r>
      <w:r>
        <w:rPr>
          <w:rFonts w:hint="eastAsia" w:ascii="仿宋_GB2312" w:hAnsi="仿宋_GB2312" w:eastAsia="仿宋_GB2312" w:cs="仿宋_GB2312"/>
          <w:color w:val="auto"/>
          <w:sz w:val="32"/>
          <w:szCs w:val="32"/>
        </w:rPr>
        <w:t>用主体应当做出信用承诺，信用承诺纳入信用档案，在深圳市公共信用信息管理平台对外公开。信用承诺主要内容包括：</w:t>
      </w:r>
    </w:p>
    <w:p>
      <w:pPr>
        <w:spacing w:line="560" w:lineRule="exact"/>
        <w:ind w:firstLine="48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（一）遵守社会医疗保险相关法律、法规、规章；</w:t>
      </w:r>
    </w:p>
    <w:p>
      <w:pPr>
        <w:spacing w:line="560" w:lineRule="exact"/>
        <w:ind w:firstLine="48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（二）严格执行医保政策，诚信履行协议，维护医保基金安全；</w:t>
      </w:r>
    </w:p>
    <w:p>
      <w:pPr>
        <w:spacing w:line="560" w:lineRule="exact"/>
        <w:ind w:firstLine="48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（三）自愿接受医疗保障行政部门依法依规开展的监督检查和信用评价；</w:t>
      </w:r>
    </w:p>
    <w:p>
      <w:pPr>
        <w:spacing w:line="560" w:lineRule="exact"/>
        <w:ind w:firstLine="482"/>
        <w:rPr>
          <w:rFonts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sz w:val="32"/>
          <w:szCs w:val="32"/>
        </w:rPr>
        <w:t>（四）承诺内容在深圳市公共信用信息管理平台公示，接受社会监督。</w:t>
      </w:r>
    </w:p>
    <w:p>
      <w:pPr>
        <w:spacing w:line="560" w:lineRule="exact"/>
        <w:ind w:firstLine="643" w:firstLineChars="200"/>
        <w:rPr>
          <w:rFonts w:hint="eastAsia" w:ascii="仿宋_GB2312" w:hAnsi="仿宋_GB2312" w:eastAsia="仿宋_GB2312" w:cs="仿宋_GB2312"/>
          <w:color w:val="auto"/>
          <w:kern w:val="0"/>
          <w:sz w:val="32"/>
          <w:szCs w:val="32"/>
          <w:shd w:val="clear" w:color="auto" w:fill="FFFFFF"/>
          <w:lang w:eastAsia="zh-CN"/>
        </w:rPr>
      </w:pPr>
      <w:r>
        <w:rPr>
          <w:rFonts w:hint="eastAsia" w:ascii="仿宋_GB2312" w:hAnsi="仿宋_GB2312" w:eastAsia="仿宋_GB2312" w:cs="仿宋_GB2312"/>
          <w:b/>
          <w:bCs/>
          <w:color w:val="auto"/>
          <w:sz w:val="32"/>
          <w:szCs w:val="32"/>
        </w:rPr>
        <w:t>第十三条</w:t>
      </w:r>
      <w:r>
        <w:rPr>
          <w:rFonts w:hint="eastAsia" w:ascii="仿宋_GB2312" w:hAnsi="仿宋_GB2312" w:eastAsia="仿宋_GB2312" w:cs="仿宋_GB2312"/>
          <w:color w:val="auto"/>
          <w:kern w:val="0"/>
          <w:sz w:val="32"/>
          <w:szCs w:val="32"/>
          <w:shd w:val="clear" w:color="auto" w:fill="FFFFFF"/>
        </w:rPr>
        <w:t xml:space="preserve"> </w:t>
      </w:r>
      <w:r>
        <w:rPr>
          <w:rFonts w:hint="eastAsia" w:ascii="仿宋_GB2312" w:hAnsi="仿宋_GB2312" w:eastAsia="仿宋_GB2312" w:cs="仿宋_GB2312"/>
          <w:b/>
          <w:bCs/>
          <w:color w:val="auto"/>
          <w:kern w:val="0"/>
          <w:sz w:val="32"/>
          <w:szCs w:val="32"/>
          <w:shd w:val="clear" w:color="auto" w:fill="FFFFFF"/>
        </w:rPr>
        <w:t>【</w:t>
      </w:r>
      <w:r>
        <w:rPr>
          <w:rFonts w:hint="eastAsia" w:ascii="仿宋_GB2312" w:hAnsi="仿宋_GB2312" w:eastAsia="仿宋_GB2312" w:cs="仿宋_GB2312"/>
          <w:b/>
          <w:bCs/>
          <w:color w:val="auto"/>
          <w:kern w:val="0"/>
          <w:sz w:val="32"/>
          <w:szCs w:val="32"/>
          <w:highlight w:val="none"/>
          <w:shd w:val="clear" w:color="auto" w:fill="FFFFFF"/>
        </w:rPr>
        <w:t>信息采集</w:t>
      </w:r>
      <w:r>
        <w:rPr>
          <w:rFonts w:hint="eastAsia" w:ascii="仿宋_GB2312" w:hAnsi="仿宋_GB2312" w:eastAsia="仿宋_GB2312" w:cs="仿宋_GB2312"/>
          <w:color w:val="auto"/>
          <w:kern w:val="0"/>
          <w:sz w:val="32"/>
          <w:szCs w:val="32"/>
          <w:highlight w:val="none"/>
          <w:shd w:val="clear" w:color="auto" w:fill="FFFFFF"/>
        </w:rPr>
        <w:t>】</w:t>
      </w:r>
      <w:r>
        <w:rPr>
          <w:rFonts w:hint="eastAsia" w:ascii="仿宋_GB2312" w:hAnsi="仿宋_GB2312" w:eastAsia="仿宋_GB2312" w:cs="仿宋_GB2312"/>
          <w:color w:val="auto"/>
          <w:kern w:val="0"/>
          <w:sz w:val="32"/>
          <w:szCs w:val="32"/>
          <w:shd w:val="clear" w:color="auto" w:fill="FFFFFF"/>
        </w:rPr>
        <w:t>市医疗保障行政部门对各类信用主体的信用信息进行认定、采集、审核、更新。各类信用主体应积极配合提供评价指标要求的信用信息。</w:t>
      </w:r>
      <w:r>
        <w:rPr>
          <w:rFonts w:hint="eastAsia" w:ascii="仿宋_GB2312" w:hAnsi="仿宋_GB2312" w:eastAsia="仿宋_GB2312" w:cs="仿宋_GB2312"/>
          <w:color w:val="auto"/>
          <w:sz w:val="32"/>
          <w:szCs w:val="32"/>
        </w:rPr>
        <w:t>医药企业</w:t>
      </w:r>
      <w:r>
        <w:rPr>
          <w:rFonts w:hint="eastAsia" w:ascii="仿宋_GB2312" w:hAnsi="仿宋_GB2312" w:eastAsia="仿宋_GB2312" w:cs="仿宋_GB2312"/>
          <w:color w:val="auto"/>
          <w:sz w:val="32"/>
          <w:szCs w:val="32"/>
          <w:lang w:eastAsia="zh-CN"/>
        </w:rPr>
        <w:t>信用信息由集中采购机构统一采集归总。</w:t>
      </w:r>
    </w:p>
    <w:p>
      <w:pPr>
        <w:spacing w:line="560" w:lineRule="exact"/>
        <w:ind w:firstLine="643" w:firstLineChars="200"/>
        <w:outlineLvl w:val="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color w:val="auto"/>
          <w:sz w:val="32"/>
          <w:szCs w:val="32"/>
        </w:rPr>
        <w:t>第十四条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b/>
          <w:bCs/>
          <w:color w:val="auto"/>
          <w:sz w:val="32"/>
          <w:szCs w:val="32"/>
          <w:highlight w:val="none"/>
        </w:rPr>
        <w:t>【信用档案】</w:t>
      </w:r>
      <w:r>
        <w:rPr>
          <w:rFonts w:hint="eastAsia" w:ascii="仿宋_GB2312" w:hAnsi="仿宋_GB2312" w:eastAsia="仿宋_GB2312" w:cs="仿宋_GB2312"/>
          <w:color w:val="auto"/>
          <w:sz w:val="32"/>
          <w:szCs w:val="32"/>
        </w:rPr>
        <w:t>采集的信用信息纳入信用档案。市医疗保障行政部门应当为信用主体建立信用档案。信用档案全面记录信用主体在医疗保障领域的信用行为，尤其是违反社会医疗保险相关法律、法规、规章和协议的信息。</w:t>
      </w:r>
      <w:r>
        <w:rPr>
          <w:rFonts w:hint="eastAsia" w:ascii="仿宋_GB2312" w:hAnsi="仿宋_GB2312" w:eastAsia="仿宋_GB2312" w:cs="仿宋_GB2312"/>
          <w:color w:val="auto"/>
          <w:sz w:val="32"/>
          <w:szCs w:val="32"/>
          <w:lang w:eastAsia="zh-CN"/>
        </w:rPr>
        <w:t>集中采购机构定期收集并建立医药企业价格招采失信信息库。</w:t>
      </w:r>
    </w:p>
    <w:p>
      <w:pPr>
        <w:spacing w:line="560" w:lineRule="exact"/>
        <w:ind w:firstLine="643" w:firstLineChars="200"/>
        <w:outlineLvl w:val="0"/>
        <w:rPr>
          <w:rFonts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第十五条</w:t>
      </w:r>
      <w:r>
        <w:rPr>
          <w:rFonts w:hint="eastAsia" w:ascii="仿宋_GB2312" w:hAnsi="仿宋_GB2312" w:eastAsia="仿宋_GB2312" w:cs="仿宋_GB2312"/>
          <w:b/>
          <w:bCs/>
          <w:color w:val="auto"/>
          <w:sz w:val="32"/>
          <w:szCs w:val="32"/>
        </w:rPr>
        <w:t xml:space="preserve"> 【采集要求】</w:t>
      </w:r>
      <w:r>
        <w:rPr>
          <w:rFonts w:hint="eastAsia" w:ascii="仿宋_GB2312" w:hAnsi="仿宋_GB2312" w:eastAsia="仿宋_GB2312" w:cs="仿宋_GB2312"/>
          <w:color w:val="auto"/>
          <w:sz w:val="32"/>
          <w:szCs w:val="32"/>
        </w:rPr>
        <w:t>信用主体对其提供信息的真实性、完整性、准确性负责，不得隐匿、虚构、篡改。</w:t>
      </w:r>
    </w:p>
    <w:p>
      <w:pPr>
        <w:spacing w:line="560" w:lineRule="exact"/>
        <w:jc w:val="center"/>
        <w:outlineLvl w:val="0"/>
        <w:rPr>
          <w:rFonts w:ascii="黑体" w:hAnsi="黑体" w:eastAsia="黑体" w:cs="黑体"/>
          <w:color w:val="auto"/>
          <w:sz w:val="32"/>
          <w:szCs w:val="32"/>
        </w:rPr>
      </w:pPr>
      <w:r>
        <w:rPr>
          <w:rFonts w:hint="eastAsia" w:ascii="黑体" w:hAnsi="黑体" w:eastAsia="黑体" w:cs="黑体"/>
          <w:color w:val="auto"/>
          <w:sz w:val="32"/>
          <w:szCs w:val="32"/>
        </w:rPr>
        <w:t>第三章 信用评价</w:t>
      </w:r>
    </w:p>
    <w:p>
      <w:pPr>
        <w:spacing w:line="56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第十六条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b/>
          <w:bCs/>
          <w:color w:val="auto"/>
          <w:sz w:val="32"/>
          <w:szCs w:val="32"/>
        </w:rPr>
        <w:t>【责任部门】</w:t>
      </w:r>
      <w:r>
        <w:rPr>
          <w:rFonts w:hint="eastAsia" w:ascii="仿宋_GB2312" w:hAnsi="仿宋_GB2312" w:eastAsia="仿宋_GB2312" w:cs="仿宋_GB2312"/>
          <w:color w:val="auto"/>
          <w:sz w:val="32"/>
          <w:szCs w:val="32"/>
        </w:rPr>
        <w:t>市医疗保障行政部门负责组织开展全市信用主体的信用评价管理工作，具体可委托经国务院征信业监督管理部门批准的第三方信用服务机构实施，评价结果以信用报告方式发布。</w:t>
      </w:r>
    </w:p>
    <w:p>
      <w:pPr>
        <w:spacing w:line="56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第十七条 【评价过程】</w:t>
      </w:r>
      <w:r>
        <w:rPr>
          <w:rFonts w:hint="eastAsia" w:ascii="仿宋_GB2312" w:hAnsi="仿宋_GB2312" w:eastAsia="仿宋_GB2312" w:cs="仿宋_GB2312"/>
          <w:color w:val="auto"/>
          <w:sz w:val="32"/>
          <w:szCs w:val="32"/>
        </w:rPr>
        <w:t>根据采集的信用信息，对信用主体进行信用评价，其中对医保经办机构、商保机构、定点医疗机构、定点零售药店、医保医师、医保药师等信用主体开展综合信用评价，包括定量分析和定性评价；对医药企业、用人单位、参保人等信用主体开展定性评价。</w:t>
      </w:r>
    </w:p>
    <w:p>
      <w:pPr>
        <w:spacing w:line="56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第十八条 【评价周期</w:t>
      </w:r>
      <w:r>
        <w:rPr>
          <w:rFonts w:hint="eastAsia" w:ascii="仿宋_GB2312" w:hAnsi="仿宋_GB2312" w:eastAsia="仿宋_GB2312" w:cs="仿宋_GB2312"/>
          <w:color w:val="auto"/>
          <w:sz w:val="32"/>
          <w:szCs w:val="32"/>
        </w:rPr>
        <w:t>】医保经办机构、商保机构、定点医疗机构、定点零售药店、医保医师、医保药师、用人单位、参保人等信用主体每个自然年度进行信用评价一次，评价结果自公布之日起至下一次评价结果公布之日内有效。集中采购机构原则上每个季度更新一次信用评价结果。</w:t>
      </w:r>
    </w:p>
    <w:p>
      <w:pPr>
        <w:spacing w:line="56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第十九条 【医保经办机构</w:t>
      </w:r>
      <w:r>
        <w:rPr>
          <w:rFonts w:hint="eastAsia" w:ascii="仿宋_GB2312" w:hAnsi="仿宋_GB2312" w:eastAsia="仿宋_GB2312" w:cs="仿宋_GB2312"/>
          <w:color w:val="auto"/>
          <w:sz w:val="32"/>
          <w:szCs w:val="32"/>
        </w:rPr>
        <w:t>】医保经办机构的信用评价内容为根据其协议履行、医疗保障经办工作要点完成情况：</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（一）医保经办机构信用等次分为A、A-、B、C，分别表示信用优秀、信用良好、信用一般、信用较差。评价满分为1000分，信用等次依据信用主体的信用评价总分确定：</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1.总分在950（含）分以上的，为A；</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2.总分在850（含）-950（不含）分的，为A-；</w:t>
      </w:r>
    </w:p>
    <w:p>
      <w:pPr>
        <w:spacing w:line="560" w:lineRule="exact"/>
        <w:ind w:left="638" w:leftChars="304"/>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3.总分在750（含）-850（不含）分的，为B；</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4.总分不足750分的，为C。</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（二）具体评价标准按本办法附件《医保经办机构信用评价标准》执行。</w:t>
      </w:r>
    </w:p>
    <w:p>
      <w:pPr>
        <w:spacing w:line="56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第二十条 【商保机构</w:t>
      </w:r>
      <w:r>
        <w:rPr>
          <w:rFonts w:hint="eastAsia" w:ascii="仿宋_GB2312" w:hAnsi="仿宋_GB2312" w:eastAsia="仿宋_GB2312" w:cs="仿宋_GB2312"/>
          <w:color w:val="auto"/>
          <w:sz w:val="32"/>
          <w:szCs w:val="32"/>
        </w:rPr>
        <w:t>】商保机构的信用评价内容为根据其协议履行情况：</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（一）商保机构信用等次分为A、A-、B、C，分别表示信用优秀、信用良好、信用一般、信用较差。评价满分为1000分，信用等次依据信用主体的信用评价总分确定：</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1.总分在950（含）分以上的，为A；</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2.总分在850（含）-950（不含）分的，为A-；</w:t>
      </w:r>
    </w:p>
    <w:p>
      <w:pPr>
        <w:spacing w:line="560" w:lineRule="exact"/>
        <w:ind w:left="638" w:leftChars="304"/>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3.总分在750（含）-850（不含）分的，为B；</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4.总分不足750分的，为C。</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（二）具体评价标准按本办法《商保机构信用评价标准》执行。</w:t>
      </w:r>
    </w:p>
    <w:p>
      <w:pPr>
        <w:spacing w:line="56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第二十一条 【两定机构】</w:t>
      </w:r>
      <w:r>
        <w:rPr>
          <w:rFonts w:hint="eastAsia" w:ascii="仿宋_GB2312" w:hAnsi="仿宋_GB2312" w:eastAsia="仿宋_GB2312" w:cs="仿宋_GB2312"/>
          <w:color w:val="auto"/>
          <w:sz w:val="32"/>
          <w:szCs w:val="32"/>
        </w:rPr>
        <w:t>定点医疗机构、定点零售药店的信用评价内容为根据其遵守社会医疗保险相关政策，并从协议履行、基金绩效、基金监管、满意度评价、自律管理、社会信用等维度进行评价：</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（一）定点医疗机构、定点零售药店信用等次分为A、A-、B、C，分别表示信用优秀、信用良好、信用一般、信用较差。评价满分为1000分，信用等次依据信用主体的信用评价总分确定：</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1.总分在950（含）分以上的，为A；</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2.总分在850（含）-950（不含）分的，为A-；</w:t>
      </w:r>
    </w:p>
    <w:p>
      <w:pPr>
        <w:spacing w:line="560" w:lineRule="exact"/>
        <w:ind w:left="638" w:leftChars="304"/>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3.总分在750（含）-850（不含）分的，为B；</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4.总分不足750分的，为C。</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（二）具体评价标准按本办法附件《定点医疗机构信用评价标准》、《定点零售药店信用评价标准》执行。</w:t>
      </w:r>
    </w:p>
    <w:p>
      <w:pPr>
        <w:spacing w:line="56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第二十二条 【医药企业】</w:t>
      </w:r>
      <w:r>
        <w:rPr>
          <w:rFonts w:hint="eastAsia" w:ascii="仿宋_GB2312" w:hAnsi="仿宋_GB2312" w:eastAsia="仿宋_GB2312" w:cs="仿宋_GB2312"/>
          <w:color w:val="auto"/>
          <w:sz w:val="32"/>
          <w:szCs w:val="32"/>
        </w:rPr>
        <w:t>医药企业的信用评价内容为根据其参与本市药品、医用耗材采购交易的行为，信用等次分为一般失信、中等失信、严重失信、特别严重失信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具体评价标准及结果应用</w:t>
      </w:r>
      <w:r>
        <w:rPr>
          <w:rFonts w:hint="eastAsia" w:ascii="仿宋_GB2312" w:hAnsi="仿宋_GB2312" w:eastAsia="仿宋_GB2312" w:cs="仿宋_GB2312"/>
          <w:color w:val="auto"/>
          <w:sz w:val="32"/>
          <w:szCs w:val="32"/>
          <w:lang w:eastAsia="zh-CN"/>
        </w:rPr>
        <w:t>按本办法附件《医药企业评价信用评价标准》执行。</w:t>
      </w:r>
      <w:r>
        <w:rPr>
          <w:rFonts w:hint="eastAsia" w:ascii="仿宋_GB2312" w:hAnsi="仿宋_GB2312" w:eastAsia="仿宋_GB2312" w:cs="仿宋_GB2312"/>
          <w:color w:val="auto"/>
          <w:sz w:val="32"/>
          <w:szCs w:val="32"/>
        </w:rPr>
        <w:t>国家、省局医疗保障行政部门另有规定的，从其规定。</w:t>
      </w:r>
    </w:p>
    <w:p>
      <w:pPr>
        <w:spacing w:line="56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第二十三条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b/>
          <w:bCs/>
          <w:color w:val="auto"/>
          <w:sz w:val="32"/>
          <w:szCs w:val="32"/>
        </w:rPr>
        <w:t>【医保医师、医保药师】</w:t>
      </w:r>
      <w:r>
        <w:rPr>
          <w:rFonts w:hint="eastAsia" w:ascii="仿宋_GB2312" w:hAnsi="仿宋_GB2312" w:eastAsia="仿宋_GB2312" w:cs="仿宋_GB2312"/>
          <w:color w:val="auto"/>
          <w:sz w:val="32"/>
          <w:szCs w:val="32"/>
        </w:rPr>
        <w:t>医保医师、医保药师的信用评价内容为根据其遵守社会医疗保险相关政策和协议</w:t>
      </w:r>
      <w:r>
        <w:rPr>
          <w:rFonts w:hint="eastAsia" w:ascii="仿宋_GB2312" w:hAnsi="仿宋_GB2312" w:eastAsia="仿宋_GB2312" w:cs="仿宋_GB2312"/>
          <w:color w:val="auto"/>
          <w:sz w:val="32"/>
          <w:szCs w:val="32"/>
          <w:lang w:eastAsia="zh-CN"/>
        </w:rPr>
        <w:t>履行</w:t>
      </w:r>
      <w:r>
        <w:rPr>
          <w:rFonts w:hint="eastAsia" w:ascii="仿宋_GB2312" w:hAnsi="仿宋_GB2312" w:eastAsia="仿宋_GB2312" w:cs="仿宋_GB2312"/>
          <w:color w:val="auto"/>
          <w:sz w:val="32"/>
          <w:szCs w:val="32"/>
        </w:rPr>
        <w:t>情况，信用等次分为A、A-、B、C，分别代表信用优秀、信用良好、信用一般、信用较差。分数为12分的，为A；分数为10（含）-12（不含）分的，为A-；分数为7（含）-10（不含）分的，为B；分数不满7分的，为C。具体评价标准按本办法附件《医保医师、医保药师信用评价标准》。</w:t>
      </w:r>
    </w:p>
    <w:p>
      <w:pPr>
        <w:spacing w:line="56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第二十四条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b/>
          <w:bCs/>
          <w:color w:val="auto"/>
          <w:sz w:val="32"/>
          <w:szCs w:val="32"/>
        </w:rPr>
        <w:t>【用人单位、参保人】</w:t>
      </w:r>
      <w:r>
        <w:rPr>
          <w:rFonts w:hint="eastAsia" w:ascii="仿宋_GB2312" w:hAnsi="仿宋_GB2312" w:eastAsia="仿宋_GB2312" w:cs="仿宋_GB2312"/>
          <w:color w:val="auto"/>
          <w:sz w:val="32"/>
          <w:szCs w:val="32"/>
        </w:rPr>
        <w:t>用人单位、参保人的信用评价内容为根据其遵守社会医疗保险相关政策情况，有违反社会医疗保险相关法律法规</w:t>
      </w:r>
      <w:r>
        <w:rPr>
          <w:rFonts w:hint="eastAsia" w:ascii="仿宋_GB2312" w:hAnsi="仿宋_GB2312" w:eastAsia="仿宋_GB2312" w:cs="仿宋_GB2312"/>
          <w:color w:val="auto"/>
          <w:sz w:val="32"/>
          <w:szCs w:val="32"/>
          <w:lang w:eastAsia="zh-CN"/>
        </w:rPr>
        <w:t>被行政处罚或追究刑事责任的</w:t>
      </w:r>
      <w:r>
        <w:rPr>
          <w:rFonts w:hint="eastAsia" w:ascii="仿宋_GB2312" w:hAnsi="仿宋_GB2312" w:eastAsia="仿宋_GB2312" w:cs="仿宋_GB2312"/>
          <w:color w:val="auto"/>
          <w:sz w:val="32"/>
          <w:szCs w:val="32"/>
        </w:rPr>
        <w:t>，评价为信用失信。</w:t>
      </w:r>
    </w:p>
    <w:p>
      <w:pPr>
        <w:spacing w:line="560" w:lineRule="exact"/>
        <w:jc w:val="center"/>
        <w:outlineLvl w:val="0"/>
        <w:rPr>
          <w:rFonts w:ascii="黑体" w:hAnsi="黑体" w:eastAsia="黑体" w:cs="黑体"/>
          <w:color w:val="auto"/>
          <w:sz w:val="32"/>
          <w:szCs w:val="32"/>
        </w:rPr>
      </w:pPr>
      <w:r>
        <w:rPr>
          <w:rFonts w:hint="eastAsia" w:ascii="黑体" w:hAnsi="黑体" w:eastAsia="黑体" w:cs="黑体"/>
          <w:color w:val="auto"/>
          <w:sz w:val="32"/>
          <w:szCs w:val="32"/>
        </w:rPr>
        <w:t>第四章 信用评价结果应用</w:t>
      </w:r>
    </w:p>
    <w:p>
      <w:pPr>
        <w:spacing w:line="560" w:lineRule="exact"/>
        <w:ind w:firstLine="643" w:firstLineChars="200"/>
        <w:outlineLvl w:val="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第二十五条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b/>
          <w:bCs/>
          <w:color w:val="auto"/>
          <w:sz w:val="32"/>
          <w:szCs w:val="32"/>
        </w:rPr>
        <w:t>【结果公开】</w:t>
      </w:r>
      <w:r>
        <w:rPr>
          <w:rFonts w:hint="eastAsia" w:ascii="仿宋_GB2312" w:hAnsi="仿宋_GB2312" w:eastAsia="仿宋_GB2312" w:cs="仿宋_GB2312"/>
          <w:color w:val="auto"/>
          <w:sz w:val="32"/>
          <w:szCs w:val="32"/>
        </w:rPr>
        <w:t>市医疗保障行政部门每自然年度在深圳市公共信用信息管理平台、深圳市医疗保障局官网等向社会公开信用主体的信用评价结果。</w:t>
      </w:r>
    </w:p>
    <w:p>
      <w:pPr>
        <w:spacing w:line="56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第二十六条</w:t>
      </w:r>
      <w:r>
        <w:rPr>
          <w:rFonts w:hint="eastAsia" w:ascii="仿宋_GB2312" w:hAnsi="仿宋_GB2312" w:eastAsia="仿宋_GB2312" w:cs="仿宋_GB2312"/>
          <w:bCs/>
          <w:color w:val="auto"/>
          <w:sz w:val="32"/>
          <w:szCs w:val="32"/>
        </w:rPr>
        <w:t xml:space="preserve"> </w:t>
      </w:r>
      <w:r>
        <w:rPr>
          <w:rFonts w:hint="eastAsia" w:ascii="仿宋_GB2312" w:hAnsi="仿宋_GB2312" w:eastAsia="仿宋_GB2312" w:cs="仿宋_GB2312"/>
          <w:b/>
          <w:color w:val="auto"/>
          <w:sz w:val="32"/>
          <w:szCs w:val="32"/>
        </w:rPr>
        <w:t>【医保经办机构】</w:t>
      </w:r>
      <w:r>
        <w:rPr>
          <w:rFonts w:hint="eastAsia" w:ascii="仿宋_GB2312" w:hAnsi="仿宋_GB2312" w:eastAsia="仿宋_GB2312" w:cs="仿宋_GB2312"/>
          <w:color w:val="auto"/>
          <w:sz w:val="32"/>
          <w:szCs w:val="32"/>
        </w:rPr>
        <w:t>医保经办机构的信用评价结果应用于监督管理、绩效评估等：</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（一）信用等次为A-的，对其履行国家、省医疗保障事业管理中心等上级部门要求的工作进行重点督办；</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（二）信用等次为B的，要求其限期改正，相关工作任务纳入绩效考核；</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（三）信用等次为C的，给予书面提醒告诫，责令限期改正，对直接负责的主管人员和其他直接责任人员依法依规给予处分；</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（四）信用评价相关信息计入信用档案，并向社会公开。</w:t>
      </w:r>
    </w:p>
    <w:p>
      <w:pPr>
        <w:spacing w:line="56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第二十七条</w:t>
      </w:r>
      <w:r>
        <w:rPr>
          <w:rFonts w:hint="eastAsia" w:ascii="仿宋_GB2312" w:hAnsi="仿宋_GB2312" w:eastAsia="仿宋_GB2312" w:cs="仿宋_GB2312"/>
          <w:bCs/>
          <w:color w:val="auto"/>
          <w:sz w:val="32"/>
          <w:szCs w:val="32"/>
        </w:rPr>
        <w:t xml:space="preserve"> </w:t>
      </w:r>
      <w:r>
        <w:rPr>
          <w:rFonts w:hint="eastAsia" w:ascii="仿宋_GB2312" w:hAnsi="仿宋_GB2312" w:eastAsia="仿宋_GB2312" w:cs="仿宋_GB2312"/>
          <w:b/>
          <w:color w:val="auto"/>
          <w:sz w:val="32"/>
          <w:szCs w:val="32"/>
        </w:rPr>
        <w:t>【商保机构】</w:t>
      </w:r>
      <w:r>
        <w:rPr>
          <w:rFonts w:hint="eastAsia" w:ascii="仿宋_GB2312" w:hAnsi="仿宋_GB2312" w:eastAsia="仿宋_GB2312" w:cs="仿宋_GB2312"/>
          <w:color w:val="auto"/>
          <w:sz w:val="32"/>
          <w:szCs w:val="32"/>
        </w:rPr>
        <w:t>商保机构的信用评价结果应用于监督管理、资格准入等：</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（一）信用等次为A-的，要求其限期改正；</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（二）信用等次为B的，给予书面提醒告诫，对其履行项目服务合同情况、投标行为进行重点审查和监督；</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（三）信用等次为C的，两年内不得参与本市医保经办业务的投标；</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（四）信用评价相关信息计入信用档案，推送至深圳市公共信息信息管理平台，并依法依规向社会公开。</w:t>
      </w:r>
    </w:p>
    <w:p>
      <w:pPr>
        <w:spacing w:line="56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第二十八条 【两定机构】</w:t>
      </w:r>
      <w:r>
        <w:rPr>
          <w:rFonts w:hint="eastAsia" w:ascii="仿宋_GB2312" w:hAnsi="仿宋_GB2312" w:eastAsia="仿宋_GB2312" w:cs="仿宋_GB2312"/>
          <w:color w:val="auto"/>
          <w:sz w:val="32"/>
          <w:szCs w:val="32"/>
        </w:rPr>
        <w:t>定点医疗机构、定点零售药店的信用评价结果应用于结算拨付、监督管理、定点协议管理等：</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信用等次为A和A-的，医疗保险年度年终清算时全额偿付与基本医疗保险医疗服务质量挂钩的医疗费用（以下简称质量挂钩金）；信用等次为B的，医疗保险年度年终清算时偿付质量挂钩金的70%；信用等次为C的，不予拨付质量挂钩金；</w:t>
      </w:r>
    </w:p>
    <w:p>
      <w:pPr>
        <w:spacing w:line="560" w:lineRule="exact"/>
        <w:ind w:firstLine="48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根据定点医疗机构、定点零售药店的信用等次设置“双随机、一公开”抽查比例，信用等次为A的，每年抽取10%进行检查；信用等次为A-的，每年抽取20%进行检查；信用等次为B的，每年抽取40%进行检查；信用等次为C的，每年100%全覆盖检查；</w:t>
      </w:r>
    </w:p>
    <w:p>
      <w:pPr>
        <w:spacing w:line="560" w:lineRule="exact"/>
        <w:ind w:firstLine="48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信用等次为A的，续签医保服务协议时实行绿色通道和容缺受理；信用等次为A-的，按规定续签医保服务协议;信用等次为B的，督促其限期整改，整改完成后方可续签医保服务协议；信用等次为C的,约谈法定代表人及相关负责人，暂停医保服务协议三个月，整改合格的续签医保服务协议，整改不合格的，解除医保服务协议；</w:t>
      </w:r>
    </w:p>
    <w:p>
      <w:pPr>
        <w:spacing w:line="560" w:lineRule="exact"/>
        <w:ind w:firstLine="48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（四）信用评价相关信息计入信用档案，推送至深圳市公共信息信息管理平台，并向社会公开。</w:t>
      </w:r>
    </w:p>
    <w:p>
      <w:pPr>
        <w:spacing w:line="56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 xml:space="preserve">第二十九条 </w:t>
      </w:r>
      <w:r>
        <w:rPr>
          <w:rFonts w:hint="eastAsia" w:ascii="仿宋_GB2312" w:hAnsi="仿宋_GB2312" w:eastAsia="仿宋_GB2312" w:cs="仿宋_GB2312"/>
          <w:b/>
          <w:bCs/>
          <w:color w:val="auto"/>
          <w:sz w:val="32"/>
          <w:szCs w:val="32"/>
        </w:rPr>
        <w:t>【医药企业】</w:t>
      </w:r>
      <w:r>
        <w:rPr>
          <w:rFonts w:hint="eastAsia" w:ascii="仿宋_GB2312" w:hAnsi="仿宋_GB2312" w:eastAsia="仿宋_GB2312" w:cs="仿宋_GB2312"/>
          <w:color w:val="auto"/>
          <w:sz w:val="32"/>
          <w:szCs w:val="32"/>
        </w:rPr>
        <w:t>医药企业的信用评价结果应用于监督检查、成交交易资格、配送资格等：</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（一）信用等次为一般失信的，由集中采购机构给予书面提醒告诫；</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（二）信用等次为中等失信的，除提醒告诫外，在医疗机构下单采购该企业生产、配送的药品或医用耗材时，自动提示风险信息；</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（三）信用等次为严重失信的，除提醒告诫、提示风险外，暂停该企业涉案产品挂网、投标或配送资格，暂停期限以医药企业信用修复、等级变化为准；</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（四）信用等次为特别严重失信的，除提醒告诫、提示风险外，暂停该企业全部药品和医用耗材的挂网、投标或配送资格</w:t>
      </w:r>
      <w:r>
        <w:rPr>
          <w:rFonts w:hint="eastAsia" w:ascii="仿宋_GB2312" w:hAnsi="仿宋_GB2312" w:eastAsia="仿宋_GB2312" w:cs="仿宋_GB2312"/>
          <w:color w:val="auto"/>
          <w:sz w:val="32"/>
          <w:szCs w:val="32"/>
          <w:shd w:val="clear" w:color="auto" w:fill="FFFFFF"/>
        </w:rPr>
        <w:t>，暂停期限以医药企业修复信用、评级结果变更为准</w:t>
      </w:r>
      <w:r>
        <w:rPr>
          <w:rFonts w:hint="eastAsia" w:ascii="仿宋_GB2312" w:hAnsi="仿宋_GB2312" w:eastAsia="仿宋_GB2312" w:cs="仿宋_GB2312"/>
          <w:color w:val="auto"/>
          <w:sz w:val="32"/>
          <w:szCs w:val="32"/>
        </w:rPr>
        <w:t>；</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（五）信用评价相关信息计入信用档案，推送至主管部门以及深圳市公共信用信息管理平台，向社会公开；</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（六）对于涉事药品或医用耗材供给结构单一、供需形势紧张的，采取分级处置措施应兼顾可及性。</w:t>
      </w:r>
    </w:p>
    <w:p>
      <w:pPr>
        <w:spacing w:line="56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 xml:space="preserve">第三十条 </w:t>
      </w:r>
      <w:r>
        <w:rPr>
          <w:rFonts w:hint="eastAsia" w:ascii="仿宋_GB2312" w:hAnsi="仿宋_GB2312" w:eastAsia="仿宋_GB2312" w:cs="仿宋_GB2312"/>
          <w:b/>
          <w:bCs/>
          <w:color w:val="auto"/>
          <w:sz w:val="32"/>
          <w:szCs w:val="32"/>
        </w:rPr>
        <w:t>【医保医师、医保药师】</w:t>
      </w:r>
      <w:r>
        <w:rPr>
          <w:rFonts w:hint="eastAsia" w:ascii="仿宋_GB2312" w:hAnsi="仿宋_GB2312" w:eastAsia="仿宋_GB2312" w:cs="仿宋_GB2312"/>
          <w:color w:val="auto"/>
          <w:sz w:val="32"/>
          <w:szCs w:val="32"/>
        </w:rPr>
        <w:t>医保医师、医保药师的信用等次评价结果应用于监督管理、协议管理等：</w:t>
      </w:r>
    </w:p>
    <w:p>
      <w:pPr>
        <w:spacing w:line="560" w:lineRule="exact"/>
        <w:ind w:firstLine="48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（一）信用等次为A-的，参加医疗保障行政部门组织的医保服务培训1次；</w:t>
      </w:r>
    </w:p>
    <w:p>
      <w:pPr>
        <w:spacing w:line="560" w:lineRule="exact"/>
        <w:ind w:firstLine="48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（二）信用等次为B的，参加医疗保障行政部门组织的医保服务培训2次，在定点医疗机构、定点零售药店内部通告；</w:t>
      </w:r>
    </w:p>
    <w:p>
      <w:pPr>
        <w:spacing w:line="560" w:lineRule="exact"/>
        <w:ind w:firstLine="48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（三）信用等次为C的，给予书面提醒告诫，对其提供的医保服务行为进行重点监督，在定点医疗机构、定点零售药店内部通报；</w:t>
      </w:r>
    </w:p>
    <w:p>
      <w:pPr>
        <w:spacing w:line="560" w:lineRule="exact"/>
        <w:ind w:firstLine="48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（四）信用评价相关信息计入信用档案，推送至主管部门以及深圳市公共信用信息管理平台，并依法依规适度公开。</w:t>
      </w:r>
    </w:p>
    <w:p>
      <w:pPr>
        <w:spacing w:line="56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 xml:space="preserve">第三十一条 </w:t>
      </w:r>
      <w:r>
        <w:rPr>
          <w:rFonts w:hint="eastAsia" w:ascii="仿宋_GB2312" w:hAnsi="仿宋_GB2312" w:eastAsia="仿宋_GB2312" w:cs="仿宋_GB2312"/>
          <w:b/>
          <w:bCs/>
          <w:color w:val="auto"/>
          <w:sz w:val="32"/>
          <w:szCs w:val="32"/>
        </w:rPr>
        <w:t>【用人单位、参保人】</w:t>
      </w:r>
      <w:r>
        <w:rPr>
          <w:rFonts w:hint="eastAsia" w:ascii="仿宋_GB2312" w:hAnsi="仿宋_GB2312" w:eastAsia="仿宋_GB2312" w:cs="仿宋_GB2312"/>
          <w:color w:val="auto"/>
          <w:sz w:val="32"/>
          <w:szCs w:val="32"/>
        </w:rPr>
        <w:t>用人单位、参保人的信用评价相关信息计入信用档案，推送至深圳市公共信用信息管理平台，并依法依规适度公开。</w:t>
      </w:r>
    </w:p>
    <w:p>
      <w:pPr>
        <w:spacing w:line="560" w:lineRule="exact"/>
        <w:ind w:firstLine="482"/>
        <w:jc w:val="center"/>
        <w:rPr>
          <w:rFonts w:ascii="仿宋" w:hAnsi="仿宋" w:eastAsia="黑体" w:cs="仿宋"/>
          <w:color w:val="auto"/>
          <w:sz w:val="32"/>
          <w:szCs w:val="32"/>
        </w:rPr>
      </w:pPr>
      <w:r>
        <w:rPr>
          <w:rFonts w:hint="eastAsia" w:ascii="黑体" w:hAnsi="黑体" w:eastAsia="黑体" w:cs="黑体"/>
          <w:color w:val="auto"/>
          <w:sz w:val="32"/>
          <w:szCs w:val="32"/>
        </w:rPr>
        <w:t>第五章 信用公示与异议申请</w:t>
      </w:r>
    </w:p>
    <w:p>
      <w:pPr>
        <w:spacing w:line="56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第三十二条 【公示程序】</w:t>
      </w:r>
      <w:r>
        <w:rPr>
          <w:rFonts w:hint="eastAsia" w:ascii="仿宋_GB2312" w:hAnsi="仿宋_GB2312" w:eastAsia="仿宋_GB2312" w:cs="仿宋_GB2312"/>
          <w:color w:val="auto"/>
          <w:sz w:val="32"/>
          <w:szCs w:val="32"/>
        </w:rPr>
        <w:t xml:space="preserve">市医疗保障行政部门将拟确定的信用评价结果通过网站、短信等形式告知信用主体，信用主体对信用结果有异议的，可收到告知的5个工作日内向市医疗保障行政部门提出书面申请并提交相关证据。 </w:t>
      </w:r>
    </w:p>
    <w:p>
      <w:pPr>
        <w:spacing w:line="560" w:lineRule="exact"/>
        <w:ind w:firstLine="643" w:firstLineChars="200"/>
        <w:outlineLvl w:val="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第三十三条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b/>
          <w:bCs/>
          <w:color w:val="auto"/>
          <w:sz w:val="32"/>
          <w:szCs w:val="32"/>
        </w:rPr>
        <w:t>【异议申诉</w:t>
      </w:r>
      <w:r>
        <w:rPr>
          <w:rFonts w:hint="eastAsia" w:ascii="仿宋_GB2312" w:hAnsi="仿宋_GB2312" w:eastAsia="仿宋_GB2312" w:cs="仿宋_GB2312"/>
          <w:color w:val="auto"/>
          <w:sz w:val="32"/>
          <w:szCs w:val="32"/>
        </w:rPr>
        <w:t>】对社会公开信息的信用主体认为其信用信息存在下列情形的，可以向市医疗保障行政部门提出异议申诉：</w:t>
      </w:r>
    </w:p>
    <w:p>
      <w:pPr>
        <w:spacing w:line="560" w:lineRule="exact"/>
        <w:ind w:firstLine="640" w:firstLineChars="200"/>
        <w:outlineLvl w:val="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（一）信用主体的信息与事实不符，存在记载错误或者遗漏；</w:t>
      </w:r>
    </w:p>
    <w:p>
      <w:pPr>
        <w:spacing w:line="560" w:lineRule="exact"/>
        <w:ind w:firstLine="640" w:firstLineChars="200"/>
        <w:outlineLvl w:val="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（二）归集涉及国家秘密、商业秘密、个人隐私以及法律法规规定禁止归集的其他信息；</w:t>
      </w:r>
    </w:p>
    <w:p>
      <w:pPr>
        <w:spacing w:line="560" w:lineRule="exact"/>
        <w:ind w:firstLine="640" w:firstLineChars="200"/>
        <w:outlineLvl w:val="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（三）失信信用信息超期限使用；</w:t>
      </w:r>
    </w:p>
    <w:p>
      <w:pPr>
        <w:spacing w:line="560" w:lineRule="exact"/>
        <w:ind w:firstLine="640" w:firstLineChars="200"/>
        <w:outlineLvl w:val="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（四）不良信息与实际不符；</w:t>
      </w:r>
    </w:p>
    <w:p>
      <w:pPr>
        <w:spacing w:line="560" w:lineRule="exact"/>
        <w:ind w:firstLine="640" w:firstLineChars="200"/>
        <w:outlineLvl w:val="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（五）评价结果有异议等。</w:t>
      </w:r>
    </w:p>
    <w:p>
      <w:pPr>
        <w:spacing w:line="560" w:lineRule="exact"/>
        <w:ind w:firstLine="643" w:firstLineChars="200"/>
        <w:outlineLvl w:val="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第三十四条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b/>
          <w:bCs/>
          <w:color w:val="auto"/>
          <w:sz w:val="32"/>
          <w:szCs w:val="32"/>
        </w:rPr>
        <w:t>【异议处理】</w:t>
      </w:r>
      <w:r>
        <w:rPr>
          <w:rFonts w:hint="eastAsia" w:ascii="仿宋_GB2312" w:hAnsi="仿宋_GB2312" w:eastAsia="仿宋_GB2312" w:cs="仿宋_GB2312"/>
          <w:color w:val="auto"/>
          <w:sz w:val="32"/>
          <w:szCs w:val="32"/>
        </w:rPr>
        <w:t>市医疗保障行政部门收到异议申诉后，应当在10个工作日内核查并将处理结果反馈申请人。异议信息核查期间，应进行标识，但不影响其公示与应用。异议信息经核实确实有误的，应当进行修正，并在原发布和提供范围内予以信用修复和公示。异议信息核实无误的，去除标识，维持原信息。</w:t>
      </w:r>
    </w:p>
    <w:p>
      <w:pPr>
        <w:spacing w:line="560" w:lineRule="exact"/>
        <w:ind w:firstLine="482"/>
        <w:jc w:val="center"/>
        <w:rPr>
          <w:rFonts w:ascii="仿宋" w:hAnsi="仿宋" w:eastAsia="黑体" w:cs="仿宋"/>
          <w:color w:val="auto"/>
          <w:sz w:val="32"/>
          <w:szCs w:val="32"/>
        </w:rPr>
      </w:pPr>
      <w:r>
        <w:rPr>
          <w:rFonts w:hint="eastAsia" w:ascii="黑体" w:hAnsi="黑体" w:eastAsia="黑体" w:cs="黑体"/>
          <w:color w:val="auto"/>
          <w:sz w:val="32"/>
          <w:szCs w:val="32"/>
        </w:rPr>
        <w:t>第六章 信用修复</w:t>
      </w:r>
    </w:p>
    <w:p>
      <w:pPr>
        <w:spacing w:line="560" w:lineRule="exact"/>
        <w:ind w:firstLine="643"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第三十五条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b/>
          <w:bCs/>
          <w:color w:val="auto"/>
          <w:sz w:val="32"/>
          <w:szCs w:val="32"/>
          <w:highlight w:val="none"/>
        </w:rPr>
        <w:t>【信用修复】</w:t>
      </w:r>
      <w:r>
        <w:rPr>
          <w:rFonts w:hint="eastAsia" w:ascii="仿宋_GB2312" w:hAnsi="仿宋_GB2312" w:eastAsia="仿宋_GB2312" w:cs="仿宋_GB2312"/>
          <w:color w:val="auto"/>
          <w:sz w:val="32"/>
          <w:szCs w:val="32"/>
        </w:rPr>
        <w:t>市医疗保障行政部门应当建立信用修复制度。信用主体主动纠正不良行为、消除不良社会影响的，可以向市医疗保障行政部门提出信用修复的申请。</w:t>
      </w:r>
      <w:r>
        <w:rPr>
          <w:rFonts w:hint="eastAsia" w:ascii="仿宋_GB2312" w:hAnsi="仿宋_GB2312" w:eastAsia="仿宋_GB2312" w:cs="仿宋_GB2312"/>
          <w:color w:val="auto"/>
          <w:sz w:val="32"/>
          <w:szCs w:val="32"/>
          <w:lang w:eastAsia="zh-CN"/>
        </w:rPr>
        <w:t>医药企业采取切实措施主动修复信用的，可向集中采购机构提出信用修复申请。</w:t>
      </w:r>
    </w:p>
    <w:p>
      <w:pPr>
        <w:spacing w:line="560" w:lineRule="exact"/>
        <w:ind w:firstLine="643"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 xml:space="preserve">第三十六条 </w:t>
      </w:r>
      <w:r>
        <w:rPr>
          <w:rFonts w:hint="eastAsia" w:ascii="仿宋_GB2312" w:hAnsi="仿宋_GB2312" w:eastAsia="仿宋_GB2312" w:cs="仿宋_GB2312"/>
          <w:b/>
          <w:bCs/>
          <w:color w:val="auto"/>
          <w:sz w:val="32"/>
          <w:szCs w:val="32"/>
          <w:highlight w:val="none"/>
        </w:rPr>
        <w:t>【修复申请】</w:t>
      </w:r>
      <w:r>
        <w:rPr>
          <w:rFonts w:hint="eastAsia" w:ascii="仿宋_GB2312" w:hAnsi="仿宋_GB2312" w:eastAsia="仿宋_GB2312" w:cs="仿宋_GB2312"/>
          <w:color w:val="auto"/>
          <w:sz w:val="32"/>
          <w:szCs w:val="32"/>
        </w:rPr>
        <w:t>信用主体被评为信用失信之日起公示满半年的，如已整改到位、半年内无新增不良信用记录，可向市医疗保障行政部门提交书面材料，申请信用修复。市医疗保障行政部门收到信用修复申请后，应当进行核查，并于20个工作日书面告知申请人。符合信用修复申请条件的，应该将信用主体移出失信对象名单。</w:t>
      </w:r>
      <w:r>
        <w:rPr>
          <w:rFonts w:hint="eastAsia" w:ascii="仿宋_GB2312" w:hAnsi="仿宋_GB2312" w:eastAsia="仿宋_GB2312" w:cs="仿宋_GB2312"/>
          <w:color w:val="auto"/>
          <w:sz w:val="32"/>
          <w:szCs w:val="32"/>
          <w:lang w:eastAsia="zh-CN"/>
        </w:rPr>
        <w:t>医药企业信用修复规则由</w:t>
      </w:r>
      <w:r>
        <w:rPr>
          <w:rFonts w:hint="eastAsia" w:ascii="仿宋_GB2312" w:hAnsi="仿宋_GB2312" w:eastAsia="仿宋_GB2312" w:cs="仿宋_GB2312"/>
          <w:color w:val="auto"/>
          <w:sz w:val="32"/>
          <w:szCs w:val="32"/>
        </w:rPr>
        <w:t>市医疗保障行政部门</w:t>
      </w:r>
      <w:r>
        <w:rPr>
          <w:rFonts w:hint="eastAsia" w:ascii="仿宋_GB2312" w:hAnsi="仿宋_GB2312" w:eastAsia="仿宋_GB2312" w:cs="仿宋_GB2312"/>
          <w:color w:val="auto"/>
          <w:sz w:val="32"/>
          <w:szCs w:val="32"/>
          <w:lang w:eastAsia="zh-CN"/>
        </w:rPr>
        <w:t>监督指导集中采购机构制定。</w:t>
      </w:r>
    </w:p>
    <w:p>
      <w:pPr>
        <w:spacing w:line="560" w:lineRule="exact"/>
        <w:jc w:val="center"/>
        <w:outlineLvl w:val="0"/>
        <w:rPr>
          <w:rFonts w:ascii="仿宋" w:hAnsi="仿宋" w:eastAsia="仿宋" w:cstheme="majorEastAsia"/>
          <w:b/>
          <w:bCs/>
          <w:color w:val="auto"/>
          <w:sz w:val="32"/>
          <w:szCs w:val="32"/>
        </w:rPr>
      </w:pPr>
      <w:r>
        <w:rPr>
          <w:rFonts w:hint="eastAsia" w:ascii="黑体" w:hAnsi="黑体" w:eastAsia="黑体" w:cs="黑体"/>
          <w:color w:val="auto"/>
          <w:sz w:val="32"/>
          <w:szCs w:val="32"/>
        </w:rPr>
        <w:t>第七章 附则</w:t>
      </w:r>
      <w:r>
        <w:rPr>
          <w:rFonts w:hint="eastAsia" w:ascii="仿宋" w:hAnsi="仿宋" w:eastAsia="仿宋" w:cstheme="majorEastAsia"/>
          <w:b/>
          <w:bCs/>
          <w:color w:val="auto"/>
          <w:sz w:val="32"/>
          <w:szCs w:val="32"/>
        </w:rPr>
        <w:t xml:space="preserve"> </w:t>
      </w:r>
    </w:p>
    <w:p>
      <w:pPr>
        <w:spacing w:line="560" w:lineRule="exact"/>
        <w:ind w:firstLine="643"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第三十</w:t>
      </w:r>
      <w:r>
        <w:rPr>
          <w:rFonts w:hint="eastAsia" w:ascii="仿宋_GB2312" w:hAnsi="仿宋_GB2312" w:eastAsia="仿宋_GB2312" w:cs="仿宋_GB2312"/>
          <w:b/>
          <w:bCs/>
          <w:color w:val="auto"/>
          <w:sz w:val="32"/>
          <w:szCs w:val="32"/>
          <w:lang w:eastAsia="zh-CN"/>
        </w:rPr>
        <w:t>七</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本办法由市医疗保障行政部门负责解释</w:t>
      </w:r>
      <w:r>
        <w:rPr>
          <w:rFonts w:hint="eastAsia" w:ascii="仿宋_GB2312" w:hAnsi="仿宋_GB2312" w:eastAsia="仿宋_GB2312" w:cs="仿宋_GB2312"/>
          <w:color w:val="auto"/>
          <w:sz w:val="32"/>
          <w:szCs w:val="32"/>
          <w:lang w:eastAsia="zh-CN"/>
        </w:rPr>
        <w:t>。相关</w:t>
      </w:r>
      <w:r>
        <w:rPr>
          <w:rFonts w:hint="eastAsia" w:ascii="仿宋_GB2312" w:hAnsi="仿宋_GB2312" w:eastAsia="仿宋_GB2312" w:cs="仿宋_GB2312"/>
          <w:color w:val="auto"/>
          <w:sz w:val="32"/>
          <w:szCs w:val="32"/>
        </w:rPr>
        <w:t>法律法规</w:t>
      </w:r>
      <w:r>
        <w:rPr>
          <w:rFonts w:hint="eastAsia" w:ascii="仿宋_GB2312" w:hAnsi="仿宋_GB2312" w:eastAsia="仿宋_GB2312" w:cs="仿宋_GB2312"/>
          <w:color w:val="auto"/>
          <w:sz w:val="32"/>
          <w:szCs w:val="32"/>
          <w:lang w:eastAsia="zh-CN"/>
        </w:rPr>
        <w:t>及</w:t>
      </w:r>
      <w:r>
        <w:rPr>
          <w:rFonts w:hint="eastAsia" w:ascii="仿宋_GB2312" w:hAnsi="仿宋_GB2312" w:eastAsia="仿宋_GB2312" w:cs="仿宋_GB2312"/>
          <w:color w:val="auto"/>
          <w:sz w:val="32"/>
          <w:szCs w:val="32"/>
        </w:rPr>
        <w:t>国家、省局医疗保障行政部门另有规定的，从其规定</w:t>
      </w:r>
      <w:r>
        <w:rPr>
          <w:rFonts w:hint="eastAsia" w:ascii="仿宋_GB2312" w:hAnsi="仿宋_GB2312" w:eastAsia="仿宋_GB2312" w:cs="仿宋_GB2312"/>
          <w:color w:val="auto"/>
          <w:sz w:val="32"/>
          <w:szCs w:val="32"/>
          <w:lang w:eastAsia="zh-CN"/>
        </w:rPr>
        <w:t>。</w:t>
      </w:r>
    </w:p>
    <w:p>
      <w:pPr>
        <w:spacing w:line="56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三十八</w:t>
      </w:r>
      <w:r>
        <w:rPr>
          <w:rFonts w:hint="eastAsia" w:ascii="仿宋_GB2312" w:hAnsi="仿宋_GB2312" w:eastAsia="仿宋_GB2312" w:cs="仿宋_GB2312"/>
          <w:b/>
          <w:bCs/>
          <w:color w:val="auto"/>
          <w:sz w:val="32"/>
          <w:szCs w:val="32"/>
        </w:rPr>
        <w:t xml:space="preserve">条 </w:t>
      </w:r>
      <w:r>
        <w:rPr>
          <w:rFonts w:hint="eastAsia" w:ascii="仿宋_GB2312" w:hAnsi="仿宋_GB2312" w:eastAsia="仿宋_GB2312" w:cs="仿宋_GB2312"/>
          <w:color w:val="auto"/>
          <w:sz w:val="32"/>
          <w:szCs w:val="32"/>
        </w:rPr>
        <w:t>本办法自2020年  月  日起施行，有效期5年。</w:t>
      </w:r>
    </w:p>
    <w:p>
      <w:pPr>
        <w:spacing w:line="560" w:lineRule="exact"/>
        <w:rPr>
          <w:rFonts w:ascii="仿宋_GB2312" w:hAnsi="仿宋_GB2312" w:eastAsia="仿宋_GB2312" w:cs="仿宋_GB2312"/>
          <w:color w:val="auto"/>
          <w:sz w:val="32"/>
          <w:szCs w:val="32"/>
        </w:rPr>
      </w:pP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附件：1-1.医保经办机构信用评价标准</w:t>
      </w:r>
    </w:p>
    <w:p>
      <w:pPr>
        <w:spacing w:line="560" w:lineRule="exact"/>
        <w:ind w:firstLine="1600" w:firstLineChars="5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1-2.商保机构信用评价标准</w:t>
      </w:r>
    </w:p>
    <w:p>
      <w:pPr>
        <w:spacing w:line="560" w:lineRule="exact"/>
        <w:ind w:left="96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1-3.定点医疗机构信用评价标准</w:t>
      </w:r>
    </w:p>
    <w:p>
      <w:pPr>
        <w:spacing w:line="560" w:lineRule="exact"/>
        <w:ind w:firstLine="1600" w:firstLineChars="5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1-4.定点零售药店信用评价标准</w:t>
      </w:r>
    </w:p>
    <w:p>
      <w:pPr>
        <w:spacing w:line="560" w:lineRule="exact"/>
        <w:ind w:firstLine="1600" w:firstLineChars="5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1-5.医药企业信用评价标准</w:t>
      </w:r>
    </w:p>
    <w:p>
      <w:pPr>
        <w:spacing w:line="560" w:lineRule="exact"/>
        <w:ind w:firstLine="1600" w:firstLineChars="5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1-6.医保医师、医保药师信用评价标准</w:t>
      </w:r>
      <w:bookmarkStart w:id="0" w:name="_GoBack"/>
      <w:bookmarkEnd w:id="0"/>
    </w:p>
    <w:p>
      <w:pPr>
        <w:spacing w:line="560" w:lineRule="exact"/>
        <w:ind w:firstLine="1600" w:firstLineChars="500"/>
        <w:rPr>
          <w:rFonts w:ascii="仿宋_GB2312" w:hAnsi="仿宋_GB2312" w:eastAsia="仿宋_GB2312" w:cs="仿宋_GB2312"/>
          <w:color w:val="auto"/>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altName w:val="Arial Unicode MS"/>
    <w:panose1 w:val="02010600030101010101"/>
    <w:charset w:val="86"/>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ascii="宋体" w:hAnsi="宋体" w:eastAsia="宋体" w:cs="宋体"/>
                              <w:sz w:val="24"/>
                              <w:szCs w:val="24"/>
                            </w:rPr>
                            <w:t>10</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snapToGrid w:val="0"/>
                      <w:rPr>
                        <w:rFonts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ascii="宋体" w:hAnsi="宋体" w:eastAsia="宋体" w:cs="宋体"/>
                        <w:sz w:val="24"/>
                        <w:szCs w:val="24"/>
                      </w:rPr>
                      <w:t>10</w:t>
                    </w:r>
                    <w:r>
                      <w:rPr>
                        <w:rFonts w:hint="eastAsia" w:ascii="宋体" w:hAnsi="宋体" w:eastAsia="宋体" w:cs="宋体"/>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6AE"/>
    <w:rsid w:val="00002093"/>
    <w:rsid w:val="0000539F"/>
    <w:rsid w:val="00005A66"/>
    <w:rsid w:val="0001162F"/>
    <w:rsid w:val="00015EFB"/>
    <w:rsid w:val="000173CC"/>
    <w:rsid w:val="00020C0C"/>
    <w:rsid w:val="000245C4"/>
    <w:rsid w:val="000273C1"/>
    <w:rsid w:val="000316F6"/>
    <w:rsid w:val="00034053"/>
    <w:rsid w:val="00042373"/>
    <w:rsid w:val="00045C34"/>
    <w:rsid w:val="00045F3D"/>
    <w:rsid w:val="0005043D"/>
    <w:rsid w:val="000506CF"/>
    <w:rsid w:val="00050EBD"/>
    <w:rsid w:val="00062F0C"/>
    <w:rsid w:val="00075FFE"/>
    <w:rsid w:val="0007658E"/>
    <w:rsid w:val="00076FEE"/>
    <w:rsid w:val="00081FC2"/>
    <w:rsid w:val="0009025A"/>
    <w:rsid w:val="000935E6"/>
    <w:rsid w:val="000A1E5D"/>
    <w:rsid w:val="000A4DAF"/>
    <w:rsid w:val="000A6A98"/>
    <w:rsid w:val="000B19ED"/>
    <w:rsid w:val="000B4225"/>
    <w:rsid w:val="000B69E4"/>
    <w:rsid w:val="000C2893"/>
    <w:rsid w:val="000C554F"/>
    <w:rsid w:val="000C71EE"/>
    <w:rsid w:val="000D00B0"/>
    <w:rsid w:val="000E1F6B"/>
    <w:rsid w:val="000E2C35"/>
    <w:rsid w:val="000E562E"/>
    <w:rsid w:val="000F05FF"/>
    <w:rsid w:val="000F2255"/>
    <w:rsid w:val="000F38B3"/>
    <w:rsid w:val="000F4015"/>
    <w:rsid w:val="000F784A"/>
    <w:rsid w:val="00103354"/>
    <w:rsid w:val="00105FF4"/>
    <w:rsid w:val="00111659"/>
    <w:rsid w:val="0013005E"/>
    <w:rsid w:val="001326B4"/>
    <w:rsid w:val="00137621"/>
    <w:rsid w:val="001403A4"/>
    <w:rsid w:val="00141E54"/>
    <w:rsid w:val="001477CD"/>
    <w:rsid w:val="001511A9"/>
    <w:rsid w:val="001520AA"/>
    <w:rsid w:val="001665A9"/>
    <w:rsid w:val="00167E4F"/>
    <w:rsid w:val="001701C3"/>
    <w:rsid w:val="00171FC2"/>
    <w:rsid w:val="00174CE5"/>
    <w:rsid w:val="00176B30"/>
    <w:rsid w:val="00180EBF"/>
    <w:rsid w:val="00183757"/>
    <w:rsid w:val="00185053"/>
    <w:rsid w:val="00190310"/>
    <w:rsid w:val="00190E04"/>
    <w:rsid w:val="00192468"/>
    <w:rsid w:val="00195087"/>
    <w:rsid w:val="001A4BBF"/>
    <w:rsid w:val="001A540D"/>
    <w:rsid w:val="001B118B"/>
    <w:rsid w:val="001B13E3"/>
    <w:rsid w:val="001B2C73"/>
    <w:rsid w:val="001B2D57"/>
    <w:rsid w:val="001B5921"/>
    <w:rsid w:val="001D0AA1"/>
    <w:rsid w:val="001D4135"/>
    <w:rsid w:val="001D41BC"/>
    <w:rsid w:val="001D4AB6"/>
    <w:rsid w:val="001D6124"/>
    <w:rsid w:val="001E1E25"/>
    <w:rsid w:val="001E3F37"/>
    <w:rsid w:val="001E498E"/>
    <w:rsid w:val="001E4BA5"/>
    <w:rsid w:val="001E5555"/>
    <w:rsid w:val="001E7E88"/>
    <w:rsid w:val="001F1C93"/>
    <w:rsid w:val="00202982"/>
    <w:rsid w:val="00211177"/>
    <w:rsid w:val="00212434"/>
    <w:rsid w:val="002216BB"/>
    <w:rsid w:val="002306D4"/>
    <w:rsid w:val="00233C14"/>
    <w:rsid w:val="00240225"/>
    <w:rsid w:val="00243540"/>
    <w:rsid w:val="00244015"/>
    <w:rsid w:val="00245545"/>
    <w:rsid w:val="00246FD5"/>
    <w:rsid w:val="00247FEA"/>
    <w:rsid w:val="00251337"/>
    <w:rsid w:val="002522A4"/>
    <w:rsid w:val="00253D33"/>
    <w:rsid w:val="00257D5B"/>
    <w:rsid w:val="002625AA"/>
    <w:rsid w:val="00262E56"/>
    <w:rsid w:val="00267A18"/>
    <w:rsid w:val="002813FC"/>
    <w:rsid w:val="00291C11"/>
    <w:rsid w:val="00292311"/>
    <w:rsid w:val="00295876"/>
    <w:rsid w:val="00295952"/>
    <w:rsid w:val="00297966"/>
    <w:rsid w:val="002A08F6"/>
    <w:rsid w:val="002A0A57"/>
    <w:rsid w:val="002A2EAA"/>
    <w:rsid w:val="002A6744"/>
    <w:rsid w:val="002B2D31"/>
    <w:rsid w:val="002B4340"/>
    <w:rsid w:val="002B6801"/>
    <w:rsid w:val="002C410E"/>
    <w:rsid w:val="002D03F2"/>
    <w:rsid w:val="002D110C"/>
    <w:rsid w:val="002D1EB9"/>
    <w:rsid w:val="002D70F3"/>
    <w:rsid w:val="002E2B2B"/>
    <w:rsid w:val="002E5266"/>
    <w:rsid w:val="002F4C7D"/>
    <w:rsid w:val="002F5CB7"/>
    <w:rsid w:val="002F65AA"/>
    <w:rsid w:val="002F7BF0"/>
    <w:rsid w:val="0030333D"/>
    <w:rsid w:val="00305BC6"/>
    <w:rsid w:val="00306660"/>
    <w:rsid w:val="003105BE"/>
    <w:rsid w:val="00310938"/>
    <w:rsid w:val="00310E91"/>
    <w:rsid w:val="0031201F"/>
    <w:rsid w:val="00313C27"/>
    <w:rsid w:val="003223C7"/>
    <w:rsid w:val="00324ACF"/>
    <w:rsid w:val="0033263B"/>
    <w:rsid w:val="00334F35"/>
    <w:rsid w:val="00335F18"/>
    <w:rsid w:val="003454BA"/>
    <w:rsid w:val="003475EB"/>
    <w:rsid w:val="003502F6"/>
    <w:rsid w:val="00356A49"/>
    <w:rsid w:val="00357BCD"/>
    <w:rsid w:val="00373E0E"/>
    <w:rsid w:val="003771C6"/>
    <w:rsid w:val="00387B85"/>
    <w:rsid w:val="00391C86"/>
    <w:rsid w:val="00394E4A"/>
    <w:rsid w:val="003B0167"/>
    <w:rsid w:val="003B376B"/>
    <w:rsid w:val="003B3DD9"/>
    <w:rsid w:val="003C1FBA"/>
    <w:rsid w:val="003C39EF"/>
    <w:rsid w:val="003C4A0E"/>
    <w:rsid w:val="003C58F8"/>
    <w:rsid w:val="003C6220"/>
    <w:rsid w:val="003C7A79"/>
    <w:rsid w:val="003D3DE3"/>
    <w:rsid w:val="003D7749"/>
    <w:rsid w:val="003D7F49"/>
    <w:rsid w:val="003E3267"/>
    <w:rsid w:val="003F42FF"/>
    <w:rsid w:val="003F44A8"/>
    <w:rsid w:val="00403323"/>
    <w:rsid w:val="00407148"/>
    <w:rsid w:val="004100C8"/>
    <w:rsid w:val="0041034A"/>
    <w:rsid w:val="004127C1"/>
    <w:rsid w:val="0042369A"/>
    <w:rsid w:val="00426A6D"/>
    <w:rsid w:val="00427EFE"/>
    <w:rsid w:val="004328E9"/>
    <w:rsid w:val="00432F3E"/>
    <w:rsid w:val="00433FF7"/>
    <w:rsid w:val="00446CA3"/>
    <w:rsid w:val="00452444"/>
    <w:rsid w:val="00453DB3"/>
    <w:rsid w:val="00457EB4"/>
    <w:rsid w:val="00461AFA"/>
    <w:rsid w:val="00465891"/>
    <w:rsid w:val="004775B4"/>
    <w:rsid w:val="00481AC6"/>
    <w:rsid w:val="004855F2"/>
    <w:rsid w:val="00490190"/>
    <w:rsid w:val="004B1B13"/>
    <w:rsid w:val="004B2C28"/>
    <w:rsid w:val="004C0778"/>
    <w:rsid w:val="004C4BBE"/>
    <w:rsid w:val="004D05AC"/>
    <w:rsid w:val="004D0F4F"/>
    <w:rsid w:val="004D640B"/>
    <w:rsid w:val="004F3ADF"/>
    <w:rsid w:val="004F3CF8"/>
    <w:rsid w:val="00506E48"/>
    <w:rsid w:val="005108AB"/>
    <w:rsid w:val="00511E2D"/>
    <w:rsid w:val="00513F9C"/>
    <w:rsid w:val="0051742E"/>
    <w:rsid w:val="00521F12"/>
    <w:rsid w:val="0052616B"/>
    <w:rsid w:val="00532020"/>
    <w:rsid w:val="0054348A"/>
    <w:rsid w:val="00544058"/>
    <w:rsid w:val="00544590"/>
    <w:rsid w:val="005454E3"/>
    <w:rsid w:val="00546449"/>
    <w:rsid w:val="00546B48"/>
    <w:rsid w:val="0055086B"/>
    <w:rsid w:val="00553B7C"/>
    <w:rsid w:val="005543C5"/>
    <w:rsid w:val="00557CE1"/>
    <w:rsid w:val="005630E7"/>
    <w:rsid w:val="00563C57"/>
    <w:rsid w:val="005703DE"/>
    <w:rsid w:val="0057314D"/>
    <w:rsid w:val="005733D3"/>
    <w:rsid w:val="00575B14"/>
    <w:rsid w:val="005812F3"/>
    <w:rsid w:val="0058492C"/>
    <w:rsid w:val="005861D1"/>
    <w:rsid w:val="00590F3D"/>
    <w:rsid w:val="00591A5A"/>
    <w:rsid w:val="00592433"/>
    <w:rsid w:val="00592E48"/>
    <w:rsid w:val="0059371B"/>
    <w:rsid w:val="00595AA6"/>
    <w:rsid w:val="005A056A"/>
    <w:rsid w:val="005A472A"/>
    <w:rsid w:val="005B0FCE"/>
    <w:rsid w:val="005B16A5"/>
    <w:rsid w:val="005B3F58"/>
    <w:rsid w:val="005C230D"/>
    <w:rsid w:val="005C5B4E"/>
    <w:rsid w:val="005C7FF6"/>
    <w:rsid w:val="005D05A1"/>
    <w:rsid w:val="005D136D"/>
    <w:rsid w:val="005D1DA0"/>
    <w:rsid w:val="005E5EC9"/>
    <w:rsid w:val="005F1ED4"/>
    <w:rsid w:val="005F3B05"/>
    <w:rsid w:val="005F6FD4"/>
    <w:rsid w:val="00600C6A"/>
    <w:rsid w:val="006036AF"/>
    <w:rsid w:val="00607442"/>
    <w:rsid w:val="00613F7D"/>
    <w:rsid w:val="00615AA7"/>
    <w:rsid w:val="0061627D"/>
    <w:rsid w:val="006165D6"/>
    <w:rsid w:val="00626923"/>
    <w:rsid w:val="00626C8F"/>
    <w:rsid w:val="00635502"/>
    <w:rsid w:val="00641D08"/>
    <w:rsid w:val="0064225A"/>
    <w:rsid w:val="00646255"/>
    <w:rsid w:val="00647504"/>
    <w:rsid w:val="00650D40"/>
    <w:rsid w:val="0065107C"/>
    <w:rsid w:val="00652529"/>
    <w:rsid w:val="00653922"/>
    <w:rsid w:val="00653F28"/>
    <w:rsid w:val="00654592"/>
    <w:rsid w:val="00656252"/>
    <w:rsid w:val="00661352"/>
    <w:rsid w:val="0066223B"/>
    <w:rsid w:val="00663EF5"/>
    <w:rsid w:val="00664AC5"/>
    <w:rsid w:val="00667F2D"/>
    <w:rsid w:val="0067131D"/>
    <w:rsid w:val="00671EF9"/>
    <w:rsid w:val="00690F1A"/>
    <w:rsid w:val="00692618"/>
    <w:rsid w:val="006959AA"/>
    <w:rsid w:val="00697C58"/>
    <w:rsid w:val="006A2148"/>
    <w:rsid w:val="006A26AA"/>
    <w:rsid w:val="006A3F79"/>
    <w:rsid w:val="006A48C5"/>
    <w:rsid w:val="006B1007"/>
    <w:rsid w:val="006B73C7"/>
    <w:rsid w:val="006B7C51"/>
    <w:rsid w:val="006C02C7"/>
    <w:rsid w:val="006C4F15"/>
    <w:rsid w:val="006C7666"/>
    <w:rsid w:val="006D4A3B"/>
    <w:rsid w:val="006D6ADF"/>
    <w:rsid w:val="006E22A5"/>
    <w:rsid w:val="00702CA3"/>
    <w:rsid w:val="00711360"/>
    <w:rsid w:val="00712683"/>
    <w:rsid w:val="007236AB"/>
    <w:rsid w:val="00727A06"/>
    <w:rsid w:val="00732D6C"/>
    <w:rsid w:val="00733C44"/>
    <w:rsid w:val="0073611F"/>
    <w:rsid w:val="00740EE4"/>
    <w:rsid w:val="007541C5"/>
    <w:rsid w:val="00754799"/>
    <w:rsid w:val="007558E7"/>
    <w:rsid w:val="00760CC5"/>
    <w:rsid w:val="00762912"/>
    <w:rsid w:val="007661D6"/>
    <w:rsid w:val="00773A4E"/>
    <w:rsid w:val="007751DF"/>
    <w:rsid w:val="00787343"/>
    <w:rsid w:val="00792269"/>
    <w:rsid w:val="007A3E58"/>
    <w:rsid w:val="007A3F6B"/>
    <w:rsid w:val="007A4824"/>
    <w:rsid w:val="007A5AE2"/>
    <w:rsid w:val="007B63A8"/>
    <w:rsid w:val="007B7B9C"/>
    <w:rsid w:val="007D113A"/>
    <w:rsid w:val="007D122B"/>
    <w:rsid w:val="007D26E5"/>
    <w:rsid w:val="007D2F0C"/>
    <w:rsid w:val="007D3423"/>
    <w:rsid w:val="007D41DC"/>
    <w:rsid w:val="007D7C50"/>
    <w:rsid w:val="007E38F6"/>
    <w:rsid w:val="007E5F03"/>
    <w:rsid w:val="007F0030"/>
    <w:rsid w:val="007F26F7"/>
    <w:rsid w:val="007F2E3C"/>
    <w:rsid w:val="00800CDB"/>
    <w:rsid w:val="008012A5"/>
    <w:rsid w:val="00811BD2"/>
    <w:rsid w:val="0081518B"/>
    <w:rsid w:val="0082306B"/>
    <w:rsid w:val="00826710"/>
    <w:rsid w:val="00834D92"/>
    <w:rsid w:val="00842117"/>
    <w:rsid w:val="00843341"/>
    <w:rsid w:val="0084775C"/>
    <w:rsid w:val="008507C6"/>
    <w:rsid w:val="0085163F"/>
    <w:rsid w:val="00857FAE"/>
    <w:rsid w:val="00863F06"/>
    <w:rsid w:val="00864CD1"/>
    <w:rsid w:val="008716A6"/>
    <w:rsid w:val="00873261"/>
    <w:rsid w:val="00874589"/>
    <w:rsid w:val="008820ED"/>
    <w:rsid w:val="00887183"/>
    <w:rsid w:val="00893089"/>
    <w:rsid w:val="008931E2"/>
    <w:rsid w:val="008932FC"/>
    <w:rsid w:val="00897599"/>
    <w:rsid w:val="008A04C1"/>
    <w:rsid w:val="008A2451"/>
    <w:rsid w:val="008A58BD"/>
    <w:rsid w:val="008A6A46"/>
    <w:rsid w:val="008B16B5"/>
    <w:rsid w:val="008B185E"/>
    <w:rsid w:val="008B6D41"/>
    <w:rsid w:val="008C23AD"/>
    <w:rsid w:val="008C2FBB"/>
    <w:rsid w:val="008D1477"/>
    <w:rsid w:val="008D5C24"/>
    <w:rsid w:val="008D64FD"/>
    <w:rsid w:val="008D7035"/>
    <w:rsid w:val="008E302B"/>
    <w:rsid w:val="008F4173"/>
    <w:rsid w:val="00901E5C"/>
    <w:rsid w:val="009031C2"/>
    <w:rsid w:val="0090751F"/>
    <w:rsid w:val="00911B93"/>
    <w:rsid w:val="00911DBF"/>
    <w:rsid w:val="00913A43"/>
    <w:rsid w:val="009165BE"/>
    <w:rsid w:val="009239CC"/>
    <w:rsid w:val="00934A20"/>
    <w:rsid w:val="00941426"/>
    <w:rsid w:val="00942B47"/>
    <w:rsid w:val="009432AF"/>
    <w:rsid w:val="009438E8"/>
    <w:rsid w:val="00944D57"/>
    <w:rsid w:val="00946D3F"/>
    <w:rsid w:val="00952310"/>
    <w:rsid w:val="00953310"/>
    <w:rsid w:val="009576D7"/>
    <w:rsid w:val="009620B4"/>
    <w:rsid w:val="00965508"/>
    <w:rsid w:val="009705CF"/>
    <w:rsid w:val="009708F2"/>
    <w:rsid w:val="00971812"/>
    <w:rsid w:val="009761F7"/>
    <w:rsid w:val="00977E51"/>
    <w:rsid w:val="00981BA7"/>
    <w:rsid w:val="009832F1"/>
    <w:rsid w:val="00984D67"/>
    <w:rsid w:val="0098734F"/>
    <w:rsid w:val="009979E3"/>
    <w:rsid w:val="00997F20"/>
    <w:rsid w:val="009A0F1C"/>
    <w:rsid w:val="009A3312"/>
    <w:rsid w:val="009C0A63"/>
    <w:rsid w:val="009C4D48"/>
    <w:rsid w:val="009C67F6"/>
    <w:rsid w:val="009C6DE4"/>
    <w:rsid w:val="009D4F8C"/>
    <w:rsid w:val="009D611B"/>
    <w:rsid w:val="009E3449"/>
    <w:rsid w:val="009F1589"/>
    <w:rsid w:val="009F729E"/>
    <w:rsid w:val="00A00247"/>
    <w:rsid w:val="00A019F0"/>
    <w:rsid w:val="00A02545"/>
    <w:rsid w:val="00A0279B"/>
    <w:rsid w:val="00A03677"/>
    <w:rsid w:val="00A039F8"/>
    <w:rsid w:val="00A05C7C"/>
    <w:rsid w:val="00A14D67"/>
    <w:rsid w:val="00A1577D"/>
    <w:rsid w:val="00A16CEF"/>
    <w:rsid w:val="00A1781A"/>
    <w:rsid w:val="00A241FE"/>
    <w:rsid w:val="00A30971"/>
    <w:rsid w:val="00A310CA"/>
    <w:rsid w:val="00A323C2"/>
    <w:rsid w:val="00A3435E"/>
    <w:rsid w:val="00A3641A"/>
    <w:rsid w:val="00A36729"/>
    <w:rsid w:val="00A50169"/>
    <w:rsid w:val="00A522DB"/>
    <w:rsid w:val="00A53619"/>
    <w:rsid w:val="00A67400"/>
    <w:rsid w:val="00A70F8E"/>
    <w:rsid w:val="00A7235C"/>
    <w:rsid w:val="00A73F06"/>
    <w:rsid w:val="00A74C87"/>
    <w:rsid w:val="00A84210"/>
    <w:rsid w:val="00A8760F"/>
    <w:rsid w:val="00A90BFC"/>
    <w:rsid w:val="00A90F07"/>
    <w:rsid w:val="00A95FCA"/>
    <w:rsid w:val="00A97AA0"/>
    <w:rsid w:val="00AA2B24"/>
    <w:rsid w:val="00AA5211"/>
    <w:rsid w:val="00AA57BE"/>
    <w:rsid w:val="00AA7EB5"/>
    <w:rsid w:val="00AB03BA"/>
    <w:rsid w:val="00AB0444"/>
    <w:rsid w:val="00AB374D"/>
    <w:rsid w:val="00AB67E6"/>
    <w:rsid w:val="00AB6986"/>
    <w:rsid w:val="00AB6BC8"/>
    <w:rsid w:val="00AC3D16"/>
    <w:rsid w:val="00AD226E"/>
    <w:rsid w:val="00AE177A"/>
    <w:rsid w:val="00AE60CD"/>
    <w:rsid w:val="00AF065F"/>
    <w:rsid w:val="00AF06A7"/>
    <w:rsid w:val="00AF1762"/>
    <w:rsid w:val="00AF2516"/>
    <w:rsid w:val="00AF415B"/>
    <w:rsid w:val="00AF4F73"/>
    <w:rsid w:val="00AF5142"/>
    <w:rsid w:val="00AF79C4"/>
    <w:rsid w:val="00B054D5"/>
    <w:rsid w:val="00B05A14"/>
    <w:rsid w:val="00B05A6E"/>
    <w:rsid w:val="00B16137"/>
    <w:rsid w:val="00B1626B"/>
    <w:rsid w:val="00B1630C"/>
    <w:rsid w:val="00B16694"/>
    <w:rsid w:val="00B22AA1"/>
    <w:rsid w:val="00B2572F"/>
    <w:rsid w:val="00B2731D"/>
    <w:rsid w:val="00B31F25"/>
    <w:rsid w:val="00B36ABD"/>
    <w:rsid w:val="00B37035"/>
    <w:rsid w:val="00B40967"/>
    <w:rsid w:val="00B44C4E"/>
    <w:rsid w:val="00B458F1"/>
    <w:rsid w:val="00B4633A"/>
    <w:rsid w:val="00B474C2"/>
    <w:rsid w:val="00B53035"/>
    <w:rsid w:val="00B561A2"/>
    <w:rsid w:val="00B62933"/>
    <w:rsid w:val="00B67AA7"/>
    <w:rsid w:val="00B752D5"/>
    <w:rsid w:val="00B758C4"/>
    <w:rsid w:val="00B76DBE"/>
    <w:rsid w:val="00B76DF0"/>
    <w:rsid w:val="00B80EE8"/>
    <w:rsid w:val="00B81699"/>
    <w:rsid w:val="00B82A36"/>
    <w:rsid w:val="00B85277"/>
    <w:rsid w:val="00B86E66"/>
    <w:rsid w:val="00B94A42"/>
    <w:rsid w:val="00BA204F"/>
    <w:rsid w:val="00BA228D"/>
    <w:rsid w:val="00BA420E"/>
    <w:rsid w:val="00BA49AB"/>
    <w:rsid w:val="00BA4FC8"/>
    <w:rsid w:val="00BB412F"/>
    <w:rsid w:val="00BC46AE"/>
    <w:rsid w:val="00BC5A8E"/>
    <w:rsid w:val="00BD467F"/>
    <w:rsid w:val="00BD47A5"/>
    <w:rsid w:val="00BD601C"/>
    <w:rsid w:val="00BE2CBC"/>
    <w:rsid w:val="00BE3F2C"/>
    <w:rsid w:val="00BE56FF"/>
    <w:rsid w:val="00BE7474"/>
    <w:rsid w:val="00BF05EF"/>
    <w:rsid w:val="00BF1F31"/>
    <w:rsid w:val="00BF22B7"/>
    <w:rsid w:val="00BF341D"/>
    <w:rsid w:val="00BF4D15"/>
    <w:rsid w:val="00C02564"/>
    <w:rsid w:val="00C0448A"/>
    <w:rsid w:val="00C121E2"/>
    <w:rsid w:val="00C172AC"/>
    <w:rsid w:val="00C22519"/>
    <w:rsid w:val="00C3671E"/>
    <w:rsid w:val="00C37E7F"/>
    <w:rsid w:val="00C47041"/>
    <w:rsid w:val="00C519F8"/>
    <w:rsid w:val="00C543FE"/>
    <w:rsid w:val="00C54B77"/>
    <w:rsid w:val="00C5554D"/>
    <w:rsid w:val="00C574BE"/>
    <w:rsid w:val="00C57730"/>
    <w:rsid w:val="00C603B8"/>
    <w:rsid w:val="00C618B8"/>
    <w:rsid w:val="00C63641"/>
    <w:rsid w:val="00C7437E"/>
    <w:rsid w:val="00C743A3"/>
    <w:rsid w:val="00C7566B"/>
    <w:rsid w:val="00C76ED4"/>
    <w:rsid w:val="00C77CFB"/>
    <w:rsid w:val="00C82BCB"/>
    <w:rsid w:val="00C83549"/>
    <w:rsid w:val="00C84690"/>
    <w:rsid w:val="00C92AF7"/>
    <w:rsid w:val="00C92B2E"/>
    <w:rsid w:val="00C93471"/>
    <w:rsid w:val="00CA54F4"/>
    <w:rsid w:val="00CA74D1"/>
    <w:rsid w:val="00CB30F4"/>
    <w:rsid w:val="00CB41C6"/>
    <w:rsid w:val="00CB4B2E"/>
    <w:rsid w:val="00CB4E73"/>
    <w:rsid w:val="00CB5DBA"/>
    <w:rsid w:val="00CB7E6E"/>
    <w:rsid w:val="00CC03D8"/>
    <w:rsid w:val="00CD0665"/>
    <w:rsid w:val="00CD1629"/>
    <w:rsid w:val="00CD3AF7"/>
    <w:rsid w:val="00CD5629"/>
    <w:rsid w:val="00CD620D"/>
    <w:rsid w:val="00CE1A64"/>
    <w:rsid w:val="00CE4A54"/>
    <w:rsid w:val="00CE7C21"/>
    <w:rsid w:val="00CF1355"/>
    <w:rsid w:val="00CF4450"/>
    <w:rsid w:val="00CF72EB"/>
    <w:rsid w:val="00D024F2"/>
    <w:rsid w:val="00D058B5"/>
    <w:rsid w:val="00D06984"/>
    <w:rsid w:val="00D1133A"/>
    <w:rsid w:val="00D17E78"/>
    <w:rsid w:val="00D20CF7"/>
    <w:rsid w:val="00D20E8B"/>
    <w:rsid w:val="00D22788"/>
    <w:rsid w:val="00D230B8"/>
    <w:rsid w:val="00D26CA8"/>
    <w:rsid w:val="00D34D41"/>
    <w:rsid w:val="00D45178"/>
    <w:rsid w:val="00D45B28"/>
    <w:rsid w:val="00D477F6"/>
    <w:rsid w:val="00D55345"/>
    <w:rsid w:val="00D602DB"/>
    <w:rsid w:val="00D633F7"/>
    <w:rsid w:val="00D66F80"/>
    <w:rsid w:val="00D719EA"/>
    <w:rsid w:val="00D76BAD"/>
    <w:rsid w:val="00D8183C"/>
    <w:rsid w:val="00D84313"/>
    <w:rsid w:val="00D92DEB"/>
    <w:rsid w:val="00D93FBE"/>
    <w:rsid w:val="00D943AF"/>
    <w:rsid w:val="00DB173F"/>
    <w:rsid w:val="00DB1EFA"/>
    <w:rsid w:val="00DC4A93"/>
    <w:rsid w:val="00DC543E"/>
    <w:rsid w:val="00DD1F43"/>
    <w:rsid w:val="00DD2C30"/>
    <w:rsid w:val="00DD6748"/>
    <w:rsid w:val="00DD78DD"/>
    <w:rsid w:val="00DE1B1E"/>
    <w:rsid w:val="00DE6AB1"/>
    <w:rsid w:val="00DE762E"/>
    <w:rsid w:val="00DF171C"/>
    <w:rsid w:val="00DF2940"/>
    <w:rsid w:val="00DF2C39"/>
    <w:rsid w:val="00DF3D27"/>
    <w:rsid w:val="00DF7188"/>
    <w:rsid w:val="00DF75E1"/>
    <w:rsid w:val="00DF7EFC"/>
    <w:rsid w:val="00DF7F78"/>
    <w:rsid w:val="00E01DCE"/>
    <w:rsid w:val="00E13A90"/>
    <w:rsid w:val="00E13AF8"/>
    <w:rsid w:val="00E24745"/>
    <w:rsid w:val="00E27390"/>
    <w:rsid w:val="00E3557A"/>
    <w:rsid w:val="00E36FCE"/>
    <w:rsid w:val="00E40FE4"/>
    <w:rsid w:val="00E43EE5"/>
    <w:rsid w:val="00E4451E"/>
    <w:rsid w:val="00E47179"/>
    <w:rsid w:val="00E50C07"/>
    <w:rsid w:val="00E550C4"/>
    <w:rsid w:val="00E57083"/>
    <w:rsid w:val="00E63302"/>
    <w:rsid w:val="00E65FFC"/>
    <w:rsid w:val="00E67DD7"/>
    <w:rsid w:val="00E727A6"/>
    <w:rsid w:val="00E772A0"/>
    <w:rsid w:val="00E84386"/>
    <w:rsid w:val="00E90542"/>
    <w:rsid w:val="00EA773B"/>
    <w:rsid w:val="00EB2CE6"/>
    <w:rsid w:val="00EB4016"/>
    <w:rsid w:val="00EB7523"/>
    <w:rsid w:val="00EC0598"/>
    <w:rsid w:val="00EC1144"/>
    <w:rsid w:val="00EC23CC"/>
    <w:rsid w:val="00EC2DE2"/>
    <w:rsid w:val="00EC7EDC"/>
    <w:rsid w:val="00ED2619"/>
    <w:rsid w:val="00ED7304"/>
    <w:rsid w:val="00ED7912"/>
    <w:rsid w:val="00EE2435"/>
    <w:rsid w:val="00EE3FD3"/>
    <w:rsid w:val="00EE4DA0"/>
    <w:rsid w:val="00EE7061"/>
    <w:rsid w:val="00EE7D58"/>
    <w:rsid w:val="00EF090D"/>
    <w:rsid w:val="00EF1D0E"/>
    <w:rsid w:val="00EF25B9"/>
    <w:rsid w:val="00EF445E"/>
    <w:rsid w:val="00F0124E"/>
    <w:rsid w:val="00F07A2F"/>
    <w:rsid w:val="00F10C95"/>
    <w:rsid w:val="00F1150C"/>
    <w:rsid w:val="00F11F86"/>
    <w:rsid w:val="00F13F00"/>
    <w:rsid w:val="00F20734"/>
    <w:rsid w:val="00F23DCB"/>
    <w:rsid w:val="00F27654"/>
    <w:rsid w:val="00F342BF"/>
    <w:rsid w:val="00F3641A"/>
    <w:rsid w:val="00F41ADB"/>
    <w:rsid w:val="00F441B2"/>
    <w:rsid w:val="00F470D8"/>
    <w:rsid w:val="00F52E64"/>
    <w:rsid w:val="00F644B4"/>
    <w:rsid w:val="00F70881"/>
    <w:rsid w:val="00F725BA"/>
    <w:rsid w:val="00F91B3B"/>
    <w:rsid w:val="00F94493"/>
    <w:rsid w:val="00F9523E"/>
    <w:rsid w:val="00FA1320"/>
    <w:rsid w:val="00FA13BA"/>
    <w:rsid w:val="00FA256D"/>
    <w:rsid w:val="00FA5DE3"/>
    <w:rsid w:val="00FA643A"/>
    <w:rsid w:val="00FA7EF7"/>
    <w:rsid w:val="00FB235F"/>
    <w:rsid w:val="00FB653C"/>
    <w:rsid w:val="00FC1270"/>
    <w:rsid w:val="00FC18B3"/>
    <w:rsid w:val="00FC1D8A"/>
    <w:rsid w:val="00FC6C96"/>
    <w:rsid w:val="00FD0ADB"/>
    <w:rsid w:val="00FD4E35"/>
    <w:rsid w:val="00FD5C11"/>
    <w:rsid w:val="00FD5CA1"/>
    <w:rsid w:val="00FE1A5D"/>
    <w:rsid w:val="00FF115C"/>
    <w:rsid w:val="00FF3573"/>
    <w:rsid w:val="00FF5F98"/>
    <w:rsid w:val="01660EF0"/>
    <w:rsid w:val="023B09FD"/>
    <w:rsid w:val="02BF3BB4"/>
    <w:rsid w:val="02D75021"/>
    <w:rsid w:val="03834FBD"/>
    <w:rsid w:val="03D03293"/>
    <w:rsid w:val="03D769BC"/>
    <w:rsid w:val="03EF5DF7"/>
    <w:rsid w:val="04194D7B"/>
    <w:rsid w:val="04226823"/>
    <w:rsid w:val="04A90002"/>
    <w:rsid w:val="04FB5722"/>
    <w:rsid w:val="04FB71A2"/>
    <w:rsid w:val="054F449B"/>
    <w:rsid w:val="05C90A75"/>
    <w:rsid w:val="05DE245D"/>
    <w:rsid w:val="07867539"/>
    <w:rsid w:val="07D163F3"/>
    <w:rsid w:val="083771A2"/>
    <w:rsid w:val="08442144"/>
    <w:rsid w:val="08A03598"/>
    <w:rsid w:val="08B46658"/>
    <w:rsid w:val="08BB4130"/>
    <w:rsid w:val="09155370"/>
    <w:rsid w:val="09363205"/>
    <w:rsid w:val="09376C96"/>
    <w:rsid w:val="0A2B2BB3"/>
    <w:rsid w:val="0B186253"/>
    <w:rsid w:val="0B451A1F"/>
    <w:rsid w:val="0C1D2884"/>
    <w:rsid w:val="0C410751"/>
    <w:rsid w:val="0CB95805"/>
    <w:rsid w:val="0CD766DE"/>
    <w:rsid w:val="0CD82C1A"/>
    <w:rsid w:val="0CDD27A1"/>
    <w:rsid w:val="0CF34548"/>
    <w:rsid w:val="0DA418E3"/>
    <w:rsid w:val="0E3D2FB6"/>
    <w:rsid w:val="0E9E3E93"/>
    <w:rsid w:val="0ECD5B20"/>
    <w:rsid w:val="0F322ECC"/>
    <w:rsid w:val="0F691415"/>
    <w:rsid w:val="104F305C"/>
    <w:rsid w:val="108F7B0A"/>
    <w:rsid w:val="111F773F"/>
    <w:rsid w:val="11ED3319"/>
    <w:rsid w:val="120326F4"/>
    <w:rsid w:val="13083A82"/>
    <w:rsid w:val="132D2AA4"/>
    <w:rsid w:val="13A979EE"/>
    <w:rsid w:val="14850253"/>
    <w:rsid w:val="14BB24F5"/>
    <w:rsid w:val="159F399F"/>
    <w:rsid w:val="16257547"/>
    <w:rsid w:val="16920D55"/>
    <w:rsid w:val="16A2430A"/>
    <w:rsid w:val="17E150A0"/>
    <w:rsid w:val="180149C2"/>
    <w:rsid w:val="186B5306"/>
    <w:rsid w:val="191C27D5"/>
    <w:rsid w:val="194D4FD7"/>
    <w:rsid w:val="19683981"/>
    <w:rsid w:val="1985397E"/>
    <w:rsid w:val="1A715791"/>
    <w:rsid w:val="1B21689F"/>
    <w:rsid w:val="1B2F7440"/>
    <w:rsid w:val="1B405782"/>
    <w:rsid w:val="1B5A5328"/>
    <w:rsid w:val="1BBD5F7B"/>
    <w:rsid w:val="1BCA0935"/>
    <w:rsid w:val="1C0A53B3"/>
    <w:rsid w:val="1C1A45C0"/>
    <w:rsid w:val="1C515C54"/>
    <w:rsid w:val="1C622C77"/>
    <w:rsid w:val="1CBD300C"/>
    <w:rsid w:val="1D106B57"/>
    <w:rsid w:val="1D6B17DD"/>
    <w:rsid w:val="1DAF7B62"/>
    <w:rsid w:val="1E7C6DC4"/>
    <w:rsid w:val="1ED84899"/>
    <w:rsid w:val="1F333288"/>
    <w:rsid w:val="1FA93EE4"/>
    <w:rsid w:val="1FF2498C"/>
    <w:rsid w:val="203A1699"/>
    <w:rsid w:val="20A154E8"/>
    <w:rsid w:val="20D43DA6"/>
    <w:rsid w:val="20D5650B"/>
    <w:rsid w:val="20F067AB"/>
    <w:rsid w:val="20F66F34"/>
    <w:rsid w:val="226E4B30"/>
    <w:rsid w:val="229F2C97"/>
    <w:rsid w:val="23041F0B"/>
    <w:rsid w:val="23283007"/>
    <w:rsid w:val="23295DAA"/>
    <w:rsid w:val="233E7229"/>
    <w:rsid w:val="234B5D3D"/>
    <w:rsid w:val="23E01FC9"/>
    <w:rsid w:val="241E6545"/>
    <w:rsid w:val="246B082F"/>
    <w:rsid w:val="246C01CC"/>
    <w:rsid w:val="2470766A"/>
    <w:rsid w:val="2475433F"/>
    <w:rsid w:val="248841ED"/>
    <w:rsid w:val="250312BF"/>
    <w:rsid w:val="252827EB"/>
    <w:rsid w:val="253404A5"/>
    <w:rsid w:val="253F2A4A"/>
    <w:rsid w:val="259B309B"/>
    <w:rsid w:val="262D789A"/>
    <w:rsid w:val="267E492D"/>
    <w:rsid w:val="26A23031"/>
    <w:rsid w:val="26C008E0"/>
    <w:rsid w:val="26DC2A82"/>
    <w:rsid w:val="26F85A02"/>
    <w:rsid w:val="27884334"/>
    <w:rsid w:val="278F3BB6"/>
    <w:rsid w:val="28462F2F"/>
    <w:rsid w:val="287A71EE"/>
    <w:rsid w:val="287C502B"/>
    <w:rsid w:val="28AB7A3B"/>
    <w:rsid w:val="29140CD9"/>
    <w:rsid w:val="2A4323B3"/>
    <w:rsid w:val="2B2568F9"/>
    <w:rsid w:val="2C0219FB"/>
    <w:rsid w:val="2C6902F7"/>
    <w:rsid w:val="2C9832A8"/>
    <w:rsid w:val="2CC46F1C"/>
    <w:rsid w:val="2CE94F27"/>
    <w:rsid w:val="2D0B0D12"/>
    <w:rsid w:val="2D1423A4"/>
    <w:rsid w:val="2E5A08B4"/>
    <w:rsid w:val="2E5B6D09"/>
    <w:rsid w:val="2EBF154F"/>
    <w:rsid w:val="2ED4414E"/>
    <w:rsid w:val="2F4851E6"/>
    <w:rsid w:val="2F4A3596"/>
    <w:rsid w:val="2F562C17"/>
    <w:rsid w:val="2FDB48F8"/>
    <w:rsid w:val="3041254C"/>
    <w:rsid w:val="306633D2"/>
    <w:rsid w:val="30972232"/>
    <w:rsid w:val="30AB5735"/>
    <w:rsid w:val="30C36C45"/>
    <w:rsid w:val="32501750"/>
    <w:rsid w:val="32784946"/>
    <w:rsid w:val="32965225"/>
    <w:rsid w:val="32E9343E"/>
    <w:rsid w:val="3322036A"/>
    <w:rsid w:val="333F619E"/>
    <w:rsid w:val="335250E5"/>
    <w:rsid w:val="339170C4"/>
    <w:rsid w:val="33D77D8A"/>
    <w:rsid w:val="34D60616"/>
    <w:rsid w:val="35634F8E"/>
    <w:rsid w:val="363A0A67"/>
    <w:rsid w:val="37744A1C"/>
    <w:rsid w:val="37784334"/>
    <w:rsid w:val="382D2850"/>
    <w:rsid w:val="385C5F1A"/>
    <w:rsid w:val="38D25AA0"/>
    <w:rsid w:val="392C5F2B"/>
    <w:rsid w:val="39417641"/>
    <w:rsid w:val="3ADF3A4C"/>
    <w:rsid w:val="3B171D8F"/>
    <w:rsid w:val="3B7A4A71"/>
    <w:rsid w:val="3B8A0A2B"/>
    <w:rsid w:val="3B997B11"/>
    <w:rsid w:val="3C323C97"/>
    <w:rsid w:val="3DA639DA"/>
    <w:rsid w:val="3DCB6681"/>
    <w:rsid w:val="3F1405B5"/>
    <w:rsid w:val="40046CFC"/>
    <w:rsid w:val="4027795E"/>
    <w:rsid w:val="408F114C"/>
    <w:rsid w:val="40EC3841"/>
    <w:rsid w:val="413D2DF2"/>
    <w:rsid w:val="41AF0807"/>
    <w:rsid w:val="42C41902"/>
    <w:rsid w:val="43942A21"/>
    <w:rsid w:val="43947285"/>
    <w:rsid w:val="43971EF7"/>
    <w:rsid w:val="439F55CA"/>
    <w:rsid w:val="44623A25"/>
    <w:rsid w:val="4489798C"/>
    <w:rsid w:val="44D31EDC"/>
    <w:rsid w:val="45973133"/>
    <w:rsid w:val="46402B30"/>
    <w:rsid w:val="465F1F8E"/>
    <w:rsid w:val="47250585"/>
    <w:rsid w:val="478635EB"/>
    <w:rsid w:val="478B6059"/>
    <w:rsid w:val="47D72AFD"/>
    <w:rsid w:val="48503AA2"/>
    <w:rsid w:val="48612027"/>
    <w:rsid w:val="48B771F5"/>
    <w:rsid w:val="49CC6BD1"/>
    <w:rsid w:val="4A102D61"/>
    <w:rsid w:val="4A7C14DA"/>
    <w:rsid w:val="4B6A1034"/>
    <w:rsid w:val="4B756FFC"/>
    <w:rsid w:val="4B794416"/>
    <w:rsid w:val="4BA03041"/>
    <w:rsid w:val="4BB53838"/>
    <w:rsid w:val="4BD864C0"/>
    <w:rsid w:val="4CB621C8"/>
    <w:rsid w:val="4DE0123A"/>
    <w:rsid w:val="4DE63D95"/>
    <w:rsid w:val="4E2B42CA"/>
    <w:rsid w:val="4E413F0D"/>
    <w:rsid w:val="4F4A5723"/>
    <w:rsid w:val="4F717D14"/>
    <w:rsid w:val="4F7C6327"/>
    <w:rsid w:val="4F96317A"/>
    <w:rsid w:val="4FF87EF0"/>
    <w:rsid w:val="50153031"/>
    <w:rsid w:val="5027082A"/>
    <w:rsid w:val="5042201E"/>
    <w:rsid w:val="51360D1C"/>
    <w:rsid w:val="51A15CE3"/>
    <w:rsid w:val="52101DD6"/>
    <w:rsid w:val="524F761E"/>
    <w:rsid w:val="525A669B"/>
    <w:rsid w:val="5271084A"/>
    <w:rsid w:val="5271118F"/>
    <w:rsid w:val="53185E6C"/>
    <w:rsid w:val="53203DC6"/>
    <w:rsid w:val="53575152"/>
    <w:rsid w:val="539D4221"/>
    <w:rsid w:val="541830C8"/>
    <w:rsid w:val="543673A8"/>
    <w:rsid w:val="553207B3"/>
    <w:rsid w:val="55321F19"/>
    <w:rsid w:val="555F3748"/>
    <w:rsid w:val="55AA0E30"/>
    <w:rsid w:val="560452FD"/>
    <w:rsid w:val="56130006"/>
    <w:rsid w:val="56551A69"/>
    <w:rsid w:val="56AA5EB7"/>
    <w:rsid w:val="56D649B7"/>
    <w:rsid w:val="56DF3271"/>
    <w:rsid w:val="56F71812"/>
    <w:rsid w:val="57603400"/>
    <w:rsid w:val="588012A0"/>
    <w:rsid w:val="58C76CE8"/>
    <w:rsid w:val="58DA7FE2"/>
    <w:rsid w:val="590A2722"/>
    <w:rsid w:val="59F938D5"/>
    <w:rsid w:val="5A9555E9"/>
    <w:rsid w:val="5A9C6F6E"/>
    <w:rsid w:val="5AB05D84"/>
    <w:rsid w:val="5AE66907"/>
    <w:rsid w:val="5B302925"/>
    <w:rsid w:val="5BBF02F7"/>
    <w:rsid w:val="5C0159E8"/>
    <w:rsid w:val="5C21650E"/>
    <w:rsid w:val="5C3261BE"/>
    <w:rsid w:val="5C5158CB"/>
    <w:rsid w:val="5CBE2BAF"/>
    <w:rsid w:val="5D032546"/>
    <w:rsid w:val="5E250113"/>
    <w:rsid w:val="5E3C67FC"/>
    <w:rsid w:val="5E5E4453"/>
    <w:rsid w:val="5EDD0B36"/>
    <w:rsid w:val="5EF6700D"/>
    <w:rsid w:val="5F1A0A8B"/>
    <w:rsid w:val="5F3F3FA3"/>
    <w:rsid w:val="5F5813DB"/>
    <w:rsid w:val="5F9202EE"/>
    <w:rsid w:val="5FB84981"/>
    <w:rsid w:val="5FEC3246"/>
    <w:rsid w:val="5FFD10FA"/>
    <w:rsid w:val="604D0EBF"/>
    <w:rsid w:val="60593507"/>
    <w:rsid w:val="617A5C80"/>
    <w:rsid w:val="61B20106"/>
    <w:rsid w:val="61CD5299"/>
    <w:rsid w:val="62EC4B89"/>
    <w:rsid w:val="63262493"/>
    <w:rsid w:val="633C2333"/>
    <w:rsid w:val="63AB6E3F"/>
    <w:rsid w:val="6574751D"/>
    <w:rsid w:val="65757C76"/>
    <w:rsid w:val="66A327C5"/>
    <w:rsid w:val="66BD7DEA"/>
    <w:rsid w:val="68071467"/>
    <w:rsid w:val="68192EFA"/>
    <w:rsid w:val="682C49EA"/>
    <w:rsid w:val="69555D0E"/>
    <w:rsid w:val="695624D3"/>
    <w:rsid w:val="6A716DCA"/>
    <w:rsid w:val="6A813FFB"/>
    <w:rsid w:val="6AA83D5B"/>
    <w:rsid w:val="6B386D9A"/>
    <w:rsid w:val="6B806276"/>
    <w:rsid w:val="6BA871E0"/>
    <w:rsid w:val="6BB65875"/>
    <w:rsid w:val="6C894C5E"/>
    <w:rsid w:val="6CAF7B5C"/>
    <w:rsid w:val="6D4A75B2"/>
    <w:rsid w:val="6D5A7FEA"/>
    <w:rsid w:val="6E973378"/>
    <w:rsid w:val="6F0C410F"/>
    <w:rsid w:val="6F153B28"/>
    <w:rsid w:val="6F170C06"/>
    <w:rsid w:val="6F4617C2"/>
    <w:rsid w:val="6FD50536"/>
    <w:rsid w:val="6FF34DE9"/>
    <w:rsid w:val="7039218D"/>
    <w:rsid w:val="705027CD"/>
    <w:rsid w:val="70823A5E"/>
    <w:rsid w:val="70C26E6A"/>
    <w:rsid w:val="712044F9"/>
    <w:rsid w:val="717766DF"/>
    <w:rsid w:val="724B3D79"/>
    <w:rsid w:val="729A64D5"/>
    <w:rsid w:val="72A41120"/>
    <w:rsid w:val="72D07897"/>
    <w:rsid w:val="73F3337C"/>
    <w:rsid w:val="749029BE"/>
    <w:rsid w:val="768E312B"/>
    <w:rsid w:val="76C154FA"/>
    <w:rsid w:val="78055787"/>
    <w:rsid w:val="783667FD"/>
    <w:rsid w:val="78421B46"/>
    <w:rsid w:val="78B57375"/>
    <w:rsid w:val="78F71CC2"/>
    <w:rsid w:val="79252965"/>
    <w:rsid w:val="7938129A"/>
    <w:rsid w:val="793857F5"/>
    <w:rsid w:val="797D1E1C"/>
    <w:rsid w:val="7AB32F7C"/>
    <w:rsid w:val="7AB40947"/>
    <w:rsid w:val="7AD71B67"/>
    <w:rsid w:val="7AF1093D"/>
    <w:rsid w:val="7AFA6521"/>
    <w:rsid w:val="7B195519"/>
    <w:rsid w:val="7C4A0480"/>
    <w:rsid w:val="7C82190E"/>
    <w:rsid w:val="7CA16615"/>
    <w:rsid w:val="7D292172"/>
    <w:rsid w:val="7DFC1D30"/>
    <w:rsid w:val="7E5278B0"/>
    <w:rsid w:val="7F68063E"/>
    <w:rsid w:val="7F8B0E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批注框文本 字符"/>
    <w:basedOn w:val="8"/>
    <w:link w:val="3"/>
    <w:semiHidden/>
    <w:qFormat/>
    <w:uiPriority w:val="99"/>
    <w:rPr>
      <w:sz w:val="18"/>
      <w:szCs w:val="18"/>
    </w:rPr>
  </w:style>
  <w:style w:type="character" w:customStyle="1" w:styleId="13">
    <w:name w:val="批注文字 字符"/>
    <w:basedOn w:val="8"/>
    <w:link w:val="2"/>
    <w:semiHidden/>
    <w:qFormat/>
    <w:uiPriority w:val="99"/>
  </w:style>
  <w:style w:type="character" w:customStyle="1" w:styleId="14">
    <w:name w:val="批注主题 字符"/>
    <w:basedOn w:val="13"/>
    <w:link w:val="6"/>
    <w:semiHidden/>
    <w:qFormat/>
    <w:uiPriority w:val="99"/>
    <w:rPr>
      <w:b/>
      <w:bCs/>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C12482-EEE2-43EE-9794-30C47BE9C1D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922</Words>
  <Characters>5261</Characters>
  <Lines>43</Lines>
  <Paragraphs>12</Paragraphs>
  <TotalTime>19</TotalTime>
  <ScaleCrop>false</ScaleCrop>
  <LinksUpToDate>false</LinksUpToDate>
  <CharactersWithSpaces>6171</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2020-05-18T06:14:00Z</dcterms:created>
  <dc:creator>li yuchan</dc:creator>
  <cp:lastModifiedBy>朱礼平</cp:lastModifiedBy>
  <cp:lastPrinted>2020-09-28T01:56:00Z</cp:lastPrinted>
  <dcterms:modified xsi:type="dcterms:W3CDTF">2020-10-19T06:29:51Z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