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907" w:type="dxa"/>
        <w:tblInd w:w="0" w:type="dxa"/>
        <w:shd w:val="clear" w:color="auto" w:fill="auto"/>
        <w:tblLayout w:type="fixed"/>
        <w:tblCellMar>
          <w:top w:w="0" w:type="dxa"/>
          <w:left w:w="0" w:type="dxa"/>
          <w:bottom w:w="0" w:type="dxa"/>
          <w:right w:w="0" w:type="dxa"/>
        </w:tblCellMar>
      </w:tblPr>
      <w:tblGrid>
        <w:gridCol w:w="622"/>
        <w:gridCol w:w="1432"/>
        <w:gridCol w:w="2241"/>
        <w:gridCol w:w="6604"/>
        <w:gridCol w:w="1854"/>
        <w:gridCol w:w="1062"/>
        <w:gridCol w:w="1092"/>
      </w:tblGrid>
      <w:tr>
        <w:tblPrEx>
          <w:shd w:val="clear" w:color="auto" w:fill="auto"/>
          <w:tblLayout w:type="fixed"/>
          <w:tblCellMar>
            <w:top w:w="0" w:type="dxa"/>
            <w:left w:w="0" w:type="dxa"/>
            <w:bottom w:w="0" w:type="dxa"/>
            <w:right w:w="0" w:type="dxa"/>
          </w:tblCellMar>
        </w:tblPrEx>
        <w:trPr>
          <w:trHeight w:val="1200" w:hRule="atLeast"/>
        </w:trPr>
        <w:tc>
          <w:tcPr>
            <w:tcW w:w="14907"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附表</w:t>
            </w:r>
          </w:p>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方正小标宋_GBK" w:hAnsi="方正小标宋_GBK" w:eastAsia="方正小标宋_GBK" w:cs="方正小标宋_GBK"/>
                <w:i w:val="0"/>
                <w:color w:val="000000"/>
                <w:kern w:val="0"/>
                <w:sz w:val="44"/>
                <w:szCs w:val="44"/>
                <w:u w:val="none"/>
                <w:lang w:val="en-US" w:eastAsia="zh-CN" w:bidi="ar"/>
              </w:rPr>
              <w:t>深圳市新增医疗服务价格项目（2020年第一批）</w:t>
            </w:r>
          </w:p>
        </w:tc>
      </w:tr>
      <w:tr>
        <w:tblPrEx>
          <w:tblLayout w:type="fixed"/>
          <w:tblCellMar>
            <w:top w:w="0" w:type="dxa"/>
            <w:left w:w="0" w:type="dxa"/>
            <w:bottom w:w="0" w:type="dxa"/>
            <w:right w:w="0" w:type="dxa"/>
          </w:tblCellMar>
        </w:tblPrEx>
        <w:trPr>
          <w:trHeight w:val="7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编码</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项目内涵</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除外内容</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计价单位</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骨髓腔内输液</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包括输血</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一次性使用穿刺针</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经外周静脉置入中线导管术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经外周静脉置入中线导管（中等长度导管），不含超声引导费用</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中线导管</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营养治疗与监测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指具有专业资质的营养(医)师对患者实施营养治疗，含营养治疗方案的制定（治疗膳食、肠内营养、肠外营养），营养方案的实施及营养监测过程。</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营养液、药物</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营养风险筛查</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通过特定的营养风险筛查量表［营养风险筛查2002（NRS2002）或营养不良通用筛选工具（MUST）或简易营养评估（MNA）或儿童筛查表等］对患者进行营养风险筛查，识别患者是否存在营养不足或营养不足的风险。含营养风险筛查量表及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每周收费不超过一次</w:t>
            </w: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营养综合评定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对有营养风险的患者进行营养综合评定，依据膳食调查、体格检查、实验室检查、病史、营养史、用药史等情况，对患者的应激程度、炎症反应、代谢水平、器官功能、心理状况进行多维度分析，并出具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营养干预方案制定、食谱制定。每周不超过一次。营养综合评定是营养不良三级诊断的第三步。</w:t>
            </w: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个体化营养指导及食谱制定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医）师，进行膳食结构评估和营养成分摄入分析（含能量、蛋白质、碳水化合物、脂肪、维生素、矿物质及膳食纤维的分析报告）；并进一步提供营养相关性疾病（慢性病、营养缺乏性疾病等）个性化食谱及营养指导。包含膳食结构分析、膳食建议、指导特医食品和膳食补充剂的使用等。</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220201010X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受控衰减参数肝脏脂肪定量检测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类型：肝脏脂肪变形定量检测。超声探头置于肝脏体表位置，取十次数据平均值，单位为dB/m,变异度IQR在40以下。测值越大，表示脂肪变数值越大。审核结果，录入超声工作站信息系统或人工登记，发送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220201011X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肝脏瞬时弹性硬度检测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检查类型：肝脏硬度检测。超声探头置于肝脏体表位置，取十次数据平均值，单位以千帕(kPa)来表示。弹性数值越大，表示肝组织硬度值越大。审核结果，录入超声工作站信息系统或人工登记，发送报告。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220600011X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冠状动脉超声心动图检查</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用高频心脏探头对病患冠状动脉开口以及部分可见近端冠状动脉进行扫查，用高清采图器截取诊断图像，将数据传送至超声工作站，由超声诊断医师分析图像后，写下诊断结果，发出超声报告。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限六岁以下儿童收取</w:t>
            </w: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230600019X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放射性药物治疗后剂量监测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核素治疗结束后，对治疗场所的放射性物质的监测与处置</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限住院病人1个住院周期收取1次</w:t>
            </w:r>
          </w:p>
        </w:tc>
      </w:tr>
      <w:tr>
        <w:tblPrEx>
          <w:tblLayout w:type="fixed"/>
          <w:tblCellMar>
            <w:top w:w="0" w:type="dxa"/>
            <w:left w:w="0" w:type="dxa"/>
            <w:bottom w:w="0" w:type="dxa"/>
            <w:right w:w="0" w:type="dxa"/>
          </w:tblCellMar>
        </w:tblPrEx>
        <w:trPr>
          <w:trHeight w:val="19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250102040X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尿11-脱氢血栓烷B2检测(11dhTxB2/Crogenix)</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250103008X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粪便钙卫蛋白定量检测（免疫荧光层析法）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250203083X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纤维蛋白单体（FM）检测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250301025X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类胰岛素样生长因子结合蛋白（化学发光法）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250303022X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髓过氧化物酶（MPO）测定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250310067X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血儿茶酚胺测定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包括肾上腺素 ，去甲肾上腺素， 多巴胺测定</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250402069X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锌转运蛋白8抗体测定（化学发光法）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9"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250403086S*1X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流感A+B抗原检测（荧光免疫层析法）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250403093X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诺如病毒检测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每种抗原检测计费一次</w:t>
            </w: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250404030X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微小核糖核酸microRNA检测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样本采集、签收、处理，RNA提取，检测，数据分析，质控，审核结果，录入实验室信息系统或人工登记，发送报告。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250501043X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分枝杆菌快速培养</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本类型：各种标本。样本采集，样本签收，标本处理、去污。培养管增菌液及抗杂菌药物添加，接种，孵育，荧光扫描全自动判读结果。审核结果，录入实验室信息系统或人工登记，发送报告；实验室消毒，按规定处理废弃物；接受临床相关咨询。</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250700031X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药物基因多态性检测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每位点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计价最高不超过7个位点</w:t>
            </w:r>
          </w:p>
        </w:tc>
      </w:tr>
      <w:tr>
        <w:tblPrEx>
          <w:tblLayout w:type="fixed"/>
          <w:tblCellMar>
            <w:top w:w="0" w:type="dxa"/>
            <w:left w:w="0" w:type="dxa"/>
            <w:bottom w:w="0" w:type="dxa"/>
            <w:right w:w="0" w:type="dxa"/>
          </w:tblCellMar>
        </w:tblPrEx>
        <w:trPr>
          <w:trHeight w:val="48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Chars="0"/>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250700031X*1</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药物基因多态性检测（荧光PCR法）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每位点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计价最高不超过7个位点</w:t>
            </w:r>
          </w:p>
        </w:tc>
      </w:tr>
      <w:tr>
        <w:tblPrEx>
          <w:tblLayout w:type="fixed"/>
          <w:tblCellMar>
            <w:top w:w="0" w:type="dxa"/>
            <w:left w:w="0" w:type="dxa"/>
            <w:bottom w:w="0" w:type="dxa"/>
            <w:right w:w="0" w:type="dxa"/>
          </w:tblCellMar>
        </w:tblPrEx>
        <w:trPr>
          <w:trHeight w:val="48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Chars="0"/>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250700031X*2</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药物基因多态性检测（微测序法）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每位点</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计价最高不超过7个位点</w:t>
            </w: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250700032X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葡萄糖-6-磷酸脱氢酶基因突变检测（PCR-反向点杂交法）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300000000*21X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超声高频集成系统加收</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指血管及淋巴管切割、凝闭，达到最小热损失的软组织切割及大血管（指直径大于等于5mm的血管）凝闭操作。</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一次性刀头</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310100037X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急性缺血性脑卒中影像评估</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性缺血性脑卒中影像评估系统以患者为中心，通过开展急性缺血性脑卒中的影像学评估，建立起全新的基于影像学的急性缺血性脑卒中评估系统，为患者“个体化”血管再通治疗提供科学依据。不含CT核磁及PET影像检查</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310100038X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电刺激颅内电极定位脑功能区及致痫区</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电刺激埋植在颅内的电极，同时记录脑电，给患者各种作业，判断对患者皮层高级功能的影响、定位脑功能区；还观察有无脑电图后放电，是否出现癫痫发作</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310100039X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脑室腹腔分流管体外无创调压术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使用专用的调压仪调整脑室腹腔分流管阀门限压</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310100040X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神经抑制电生理检测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310100041X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直接电刺激脑功能区定位术中监测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颅手术中在大脑表面放置皮层电极，对患者皮层进行逐点电刺激，或直接利用神经探头（刺激器）刺激皮层或皮层下白质，同时记录脑电，给患者各种作业，或观测肌电图运动诱发电位，判断对患者皮层高级功能的影响、定位脑功能区。不含脑电图检查。</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一次性医用神经探头、一次性医用针电极、皮层电极</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310208006X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垂体激素泵治疗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Chars="0"/>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310208006X*1 </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垂体激素泵治疗（首日）</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遵医嘱调节用量和频率，建立垂体激素输液泵观察表，随时观察输注部位皮肤针眼处有无异常，电量和药量是否充足，管路是否通畅， 有无报警情况，携带是否安全，3天更换注射部位及耗材，输注部位出现红肿、出血、脱出情况立即更换，每班每天需要密切观察并记录。</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Chars="0"/>
              <w:jc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310208006X*2 </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垂体激素泵治疗（继日）</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遵医嘱调节用量和频率，建立垂体激素输液泵观察表，随时观察输注部位皮肤针眼处有无异常，电量和药量是否充足，管路是否通畅， 有无报警情况，携带是否安全，3天更换注射部位及耗材，输注部位出现红肿、出血、脱出情况立即更换，每班每天需要密切观察并记录。</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310208007</w:t>
            </w:r>
            <w:r>
              <w:rPr>
                <w:rStyle w:val="6"/>
                <w:rFonts w:eastAsia="宋体"/>
                <w:lang w:val="en-US" w:eastAsia="zh-CN" w:bidi="ar"/>
              </w:rPr>
              <w:t>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肠屏障功能测定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指具有专业资质的营养技师根据为危重症患者或围手术期等各类疾病人群进行肠屏障功能血清标志物的测定。</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310300113X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眼睑缘深部清洁治疗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含睑缘炎的治疗及螨虫的处理治疗</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次/只</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310300114X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多光谱眼底检查（MSI）</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应用多光谱眼底检查(MSI)，依次采集多张眼底不同层次的冠状面图像，打印报告单，人工分析结果，形成图文病例报告。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次/只</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310401051X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耳石症电动复位治疗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含水平半规管耳石症治疗、后半规管耳石症治疗、上半规管耳石症治疗</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310501012X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电子面弓髁状突运动轨迹描记</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电子运动面弓在口腔咬合疾病中的诊断</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310501013X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数字化口内扫描</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数字化口内扫描，采集无托槽矫治的牙齿数据</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双颌</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310510014X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声波树脂充填术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310511028X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牙髓血运重建术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口腔手术显微镜下,通过彻底有效的根管消毒,尽量保护牙髓干细胞和根尖乳头干细胞等种子细胞,形成以血凝块为主的再生支架并提供生长因子,最后进行严密的冠方封闭,为干细胞增生和分化提供良好的环境,诱导其分化为牙本质细胞和成骨细胞等,从而促使牙髓再生和牙根继续发。</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每根管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310514005X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VELscope荧光口腔癌前病损检测</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通过数码照相机获取损伤部位的白光影像以及VELscope自体荧光影像，观察口腔病损区的荧光缺失是否存在，从而判断病损的癌变情况。</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310514006X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甲苯胺蓝口腔癌前病损染色</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患者漱口后，用甲苯胺蓝涂抹于病损组织，3分钟后，再让患者漱口，并用冰醋酸擦抹病损组织，观察染色情况。</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310514007X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口腔粘膜下局部封闭术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将药物局部封闭于口腔黏膜病损下方</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310603004X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高流量呼吸湿化治疗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w:t>
            </w:r>
            <w:r>
              <w:rPr>
                <w:rStyle w:val="6"/>
                <w:rFonts w:eastAsia="宋体"/>
                <w:lang w:val="en-US" w:eastAsia="zh-CN" w:bidi="ar"/>
              </w:rPr>
              <w:t>氧气治疗和湿化治疗</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加热呼吸管路套装、鼻塞导管、气管切管接头、面罩转接头</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310604008X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痰诱导采集术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含雾化吸入和振动排痰</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不含采集标本后的镜检与培养</w:t>
            </w: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310604009X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经皮穿刺肺结节定位术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CT引导下将定位穿刺针插至肺结节部位，为后续胸腔镜手术提供指引。不含影像学引导</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310605017X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特殊疾病纤维支气管检查治疗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一次性使用电子支气管镜，对于限定活动性肺结核、艾滋病、有明确的药敏结果的广泛耐药菌感染、涉及公共卫生安全的不明原因肺炎的危重症患者进行快速现场细胞学评价（C-ROSE)和微生物学评价（M-ROSE)。含活检、刷片吸痰、化疗、滴药，包括支气管镜下紧急止血，标本送细胞学和组织学等检查。</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一次性电子支气管内窥镜</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310701030X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QT离散度</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皮肤清洁处理，安放电极，完成标准十二导联心电图记录，测量QT间期，根据公式计算校正QT间期和QT离散度。</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310702023X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植入式心电记录器安置术（含X光影相）</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清洁处理，在胸骨左缘和左胸骨中线第1-4肋间的范围内安放电极，记录不同组合的双极心电图，判断理想植入部位。消毒铺巾，局部麻醉，根据选择的植入部位做切口，制备皮下囊袋，将高妙器放进皮下囊袋后，逐层缝合皮下组织及皮肤。</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植入式心电记录器</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取出术按拟定价格的50%收取</w:t>
            </w: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310702024X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心腔三维标测术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指使用三维标测系统，为房颤、复杂性心律失常等患者，构建心腔三维图像，明确诊断及指导相关治疗。</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电极导管、导引鞘管、房间隔穿刺针、导管套件、体表电极</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310901011X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24小时胃食管反流动态监测 </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指持续监测24小时，</w:t>
            </w:r>
            <w:r>
              <w:rPr>
                <w:rStyle w:val="6"/>
                <w:rFonts w:eastAsia="宋体"/>
                <w:lang w:val="en-US" w:eastAsia="zh-CN" w:bidi="ar"/>
              </w:rPr>
              <w:t>含食管下段PH-阻抗监测以及症状相关性分析</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一次性食管PH-阻抗电极探头</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增加食管上段PH-阻抗的加收30%；持续监测48小时加收50%，持续监测72小时及以上的加收7</w:t>
            </w:r>
            <w:r>
              <w:rPr>
                <w:rStyle w:val="6"/>
                <w:rFonts w:eastAsia="宋体"/>
                <w:lang w:val="en-US" w:eastAsia="zh-CN" w:bidi="ar"/>
              </w:rPr>
              <w:t>5%。</w:t>
            </w: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310903021X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经口内镜环状肌切开术（POEM）</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310903022X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经双气囊小肠镜小肠狭窄切开术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在双气囊小肠镜操作时，对发现的小肠狭窄进行切开治疗，从而解除狭窄</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内镜用切开刀</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310903023X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经双气囊小肠镜小肠狭窄球囊扩张术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在双气囊小肠镜操作时，对发现的小肠狭窄进行球囊扩张治疗，从而解除狭窄</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310903024X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小儿肠套叠水压灌肠复位术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B超监测下，通过“一次性使用小儿肠套叠灌肠复位包”从患儿肛门内注入生理盐水进行肠套叠精准灌肠复位治疗</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一次性使用小儿肠套叠灌肠复位包</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310903025X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肠壁神经节活检</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每处</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310905032X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胰腺支架取出术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患者自身疾病已康复或者支架引发排斥、感染、移位等需将支架从体内取出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310905033X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内镜下胰管碎石取石术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本手术是在十二指肠内镜引导下，行胰管取石，当结石较大时，可经取石网篮碎石后取出。结石经过碎石后，结石破碎得较小，亦可自行排出</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310905034X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粪菌移植术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在内镜辅助下置入给菌管并注入菌液，不含内镜检查费</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给药管</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311000046X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阴部神经体感诱发电位测定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w:t>
            </w:r>
            <w:r>
              <w:rPr>
                <w:rStyle w:val="6"/>
                <w:rFonts w:eastAsia="宋体"/>
                <w:lang w:val="en-US" w:eastAsia="zh-CN" w:bidi="ar"/>
              </w:rPr>
              <w:t>阴茎背神经体感诱发电位(DNSEP)、阴茎头体感诱发电位(GPSEP)及尿道海绵体感觉诱发电位（UCSEP）</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电极</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311000047X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膀胱容量压力测定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311201082X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孕晚期促宫颈成熟术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药物、球囊</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311400065X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308nm准分子光/激光治疗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适用于白癜风、银屑病等免疫性皮肤病</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每个光斑</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311400066X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脉管瘤腔内药物灌注术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CoHen-Mansfield激越量表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Hachinski缺血指数量表（HIS）</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Liebowitz社交焦虑量表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（Liebowitz Social Anxiety Scale,LSAS）</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Maslach职业倦怠调查普适量表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（Maslach Burnout Inventory General Survey，MBI-GS）</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MoCA量表（蒙特利尔认知评估量表）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Sarason考试焦虑量表（Test Anxiety Scale,TAS）</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color w:val="000000"/>
                <w:sz w:val="20"/>
                <w:szCs w:val="20"/>
                <w:u w:val="none"/>
                <w:lang w:val="en-US"/>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阿尔茨海默病评定量表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老年抑郁评定量表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311501001*10X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临床痴呆评定量表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color w:val="000000"/>
                <w:sz w:val="20"/>
                <w:szCs w:val="20"/>
                <w:u w:val="none"/>
                <w:lang w:val="en-US"/>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311501001*11X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神经精神量表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311501001*12X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数字广度测验</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6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311501001*13X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睡眠个人信念与态度量表(dysfunctional beliefs and attitudes about sleep，dbas) </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311501001*14X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谵妄CAM</w:t>
            </w:r>
            <w:r>
              <w:rPr>
                <w:rStyle w:val="7"/>
                <w:rFonts w:eastAsia="宋体"/>
                <w:lang w:val="en-US" w:eastAsia="zh-CN" w:bidi="ar"/>
              </w:rPr>
              <w:t>量表</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311503036X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超短脉冲矩形波电刺激抽搐阈值滴定</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应用超短脉冲矩形波电刺激滴定技术测定抽搐阈值</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320500019X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经导管主动脉瓣置换术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在备有除颤器、麻醉机、心电监护的条件下，麻醉</w:t>
            </w:r>
            <w:r>
              <w:rPr>
                <w:rStyle w:val="6"/>
                <w:rFonts w:eastAsia="宋体"/>
                <w:lang w:val="en-US" w:eastAsia="zh-CN" w:bidi="ar"/>
              </w:rPr>
              <w:t>后穿刺股动脉，在血管造影机透视下将人工心脏瓣膜输送至主动脉瓣区打开释放，行心脏造影剂经食道超声心动图评估瓣膜稳定性及工作情况、与周围结构关系处于良好状态后，撤出输送系统后封闭血管完成手术</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人工瓣膜及输送系统，导引器、扩张器</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320600013X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DSA引导下大脑半球功能测评</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color w:val="000000"/>
                <w:sz w:val="20"/>
                <w:szCs w:val="20"/>
                <w:u w:val="none"/>
                <w:lang w:val="en-US"/>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330100005-1*4X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全身麻醉术中唤醒麻醉加收（含气管插管）</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对于需要术中唤醒的全身麻醉患者</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适用于神经外科及脊柱外科神经功能监测下手术的患者</w:t>
            </w: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330100029X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体表加温治疗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一次性保温毯</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限手术室用</w:t>
            </w:r>
          </w:p>
        </w:tc>
      </w:tr>
      <w:tr>
        <w:tblPrEx>
          <w:tblLayout w:type="fixed"/>
          <w:tblCellMar>
            <w:top w:w="0" w:type="dxa"/>
            <w:left w:w="0" w:type="dxa"/>
            <w:bottom w:w="0" w:type="dxa"/>
            <w:right w:w="0" w:type="dxa"/>
          </w:tblCellMar>
        </w:tblPrEx>
        <w:trPr>
          <w:trHeight w:val="14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330100030X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椎管内阻滞分娩镇痛</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采用连续硬膜外镇痛、腰-硬联合镇痛、蛛网膜下腔镇痛等方法对可进行阴道分娩试产的产妇降低分娩疼痛,提高分娩质量。内容包括（1）评估产妇病史、体格检查、相关实验室检查；（2）针对产妇情况制定个体化镇痛方案；（3）实施椎管内阻滞等无菌操作；（4）分娩镇痛管理:监测生命体征、VAS疼痛评分和Bromage运动神经阻滞评分；（5）分娩镇痛期间并发症的处理。</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含一次性腰硬联合穿刺包、一次性镇痛泵药盒超过4小时每小时加收150元</w:t>
            </w: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330201067X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经脑室大脑半球次全离断术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神经导航下锁孔经脑室大脑半球次全离断术</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一次性神经探头、一次性不粘双极电凝镊</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330201068X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经脑室大脑半球离断术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神经导航下锁孔经脑室大脑半球离断术</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一次性神经探头、一次性不粘双极电凝镊</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330201069X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经脑室额叶离断术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神经导航下锁孔经脑室额叶离断术</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一次性神经探头、一次性不粘双极电凝镊</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330201070X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经脑室颞顶枕离断术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神经导航下锁孔经脑室颞顶枕离断术</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一次性神经探头、一次性不粘双极电凝镊</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330405025X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提眉美容术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包括经眉上切口、眉切口、眉下切口矫正上睑或者眉的下垂松弛畸形</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330405026X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眼综合美容术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重睑、内外眼角开大、皮肤松弛、臃肿等两项或者多项综合美容</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330405027X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重睑术后畸形矫正术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双侧</w:t>
            </w:r>
          </w:p>
        </w:tc>
      </w:tr>
      <w:tr>
        <w:tblPrEx>
          <w:tblLayout w:type="fixed"/>
          <w:tblCellMar>
            <w:top w:w="0" w:type="dxa"/>
            <w:left w:w="0" w:type="dxa"/>
            <w:bottom w:w="0" w:type="dxa"/>
            <w:right w:w="0" w:type="dxa"/>
          </w:tblCellMar>
        </w:tblPrEx>
        <w:trPr>
          <w:trHeight w:val="12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330405028X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二氧化碳激光深层巩膜切除术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铺巾，开睑，置手术贴膜。在手术显微镜下做上直肌或角膜缘牵引缝线、结膜瓣，止血，做表层巩膜瓣。调整激光控制器参数，使用二氧化碳激光消融深层巩膜，做巩膜池，打开舒莱姆氏管（Schlemm管）外壁，表层巩膜瓣复位并缝合，结膜瓣缝合，结膜囊涂抹抗菌药物和糖皮质激素眼膏，消毒纱布遮盖</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次/只</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330406023X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有晶体眼人工晶体植入术（ICL）</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包含手术显微镜使用，在手术镜下前房穿刺，注射粘弹剂，植入后房型人工晶体，冲洗前房粘弹剂，前房注射头孢呋辛钠注射液 。</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人工晶体，粘弹剂，一次性角膜穿刺刀</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330601031X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鼻头肥大美容术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鼻头缩小</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假体</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不包括耳软骨或肋软切取术手术费用</w:t>
            </w: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330601032X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鼻翼缩小术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鼻翼肥厚缩小</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330604044X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牙龈隧道术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以显微牙周外科操作为基础达到软、硬组织增量微创手术的目的</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331002017X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胃底折叠术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游离胃底后用胃底完全或部分包绕食管下段，并缝到食管右侧小弯侧，在食管下段贲门区域形成抗反流折叠瓣，同时将抗反流折叠瓣固定于膈肌上。</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331501070X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脊柱全椎体切除术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含该节段椎板切除、椎管扩大减压</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每椎体</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每增加一个椎体加收50%</w:t>
            </w: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331505041X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胫骨髁间嵴骨折复位内固定术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指利用膝关节镜内窥及操作系统，对胫骨髁间嵴骨折进行撬拨等复位并用空心螺钉等内固定物固定而维持复位。</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331506028X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跗骨窦清理术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指利用关节镜内窥及操作系统，对跗骨窦内病理组织进行刨削清理及射频电刀烧灼。</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331510012X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胫骨横向骨搬运术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于胫骨骨皮质开窗后利用微型外固定架系统固定并实现开窗骨皮质的反复横向搬移。</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331512021X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马蹄内翻足肌腱转位术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通过对足部不同组肌腱的转位，加强其他肌腱功能或重建肌腱止点达到平衡足的跖屈和背伸的静态平衡。</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420000019X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小夹板制作</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制作材料</w:t>
            </w: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430000029X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蝶腭神经节针刺法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针刺刺激蝶腭神经节治疗头面耳鼻等疾病，不包括蝶腭神经节其他刺激方法。</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450000017X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小儿推拿疗法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450000018X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胸腰椎骨折过伸牵引弹性按压复位术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w:t>
            </w:r>
            <w:r>
              <w:rPr>
                <w:rStyle w:val="6"/>
                <w:rFonts w:eastAsia="宋体"/>
                <w:lang w:val="en-US" w:eastAsia="zh-CN" w:bidi="ar"/>
              </w:rPr>
              <w:t>过伸牵引、弹性按压、骨折手法复位等</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每椎体</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470000019X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筋膜粘连手法松解术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w:t>
            </w:r>
            <w:r>
              <w:rPr>
                <w:rStyle w:val="6"/>
                <w:rFonts w:eastAsia="宋体"/>
                <w:lang w:val="en-US" w:eastAsia="zh-CN" w:bidi="ar"/>
              </w:rPr>
              <w:t>各类中医手法。</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470000020X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长圆针疗法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470000021X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关节粘连液压扩张松解术</w:t>
            </w:r>
          </w:p>
        </w:tc>
        <w:tc>
          <w:tcPr>
            <w:tcW w:w="660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每关节</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470000022X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关节僵硬手法松动治疗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含各种手法，指髋、膝、踝、足；肩、肘、腕、掌指关节部位的关节僵硬手法松动治疗</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每部位30分钟/次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470000023X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中医手法治疗正骨矫正术</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采用中医各种手法进行正骨</w:t>
            </w:r>
            <w:r>
              <w:rPr>
                <w:rFonts w:hint="eastAsia" w:ascii="宋体" w:hAnsi="宋体" w:eastAsia="宋体" w:cs="宋体"/>
                <w:i w:val="0"/>
                <w:color w:val="000000"/>
                <w:sz w:val="20"/>
                <w:szCs w:val="20"/>
                <w:u w:val="none"/>
                <w:lang w:eastAsia="zh-CN"/>
              </w:rPr>
              <w:t>、矫正。</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30分钟/次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470000024X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中医软组织手法治疗</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rPr>
              <w:t>采用中医各种手法进行软组织治疗</w:t>
            </w:r>
            <w:r>
              <w:rPr>
                <w:rFonts w:hint="eastAsia" w:ascii="宋体" w:hAnsi="宋体" w:eastAsia="宋体" w:cs="宋体"/>
                <w:i w:val="0"/>
                <w:color w:val="000000"/>
                <w:sz w:val="20"/>
                <w:szCs w:val="20"/>
                <w:u w:val="none"/>
                <w:lang w:eastAsia="zh-CN"/>
              </w:rPr>
              <w:t>。</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30分钟/次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480000016X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中药特殊调配（鲜药加工调配）</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200毫升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480000017X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中药特殊调配（散剂调配）</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含药材烘干、粉碎、过筛、包装</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480000018X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中药特殊调配（中药药囊调配）</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480000019X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中药特殊调配（颗粒剂）</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含药材提取、制粒、干燥、包装</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480000020X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中药特殊调配（酒剂）</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含药材浸泡、过滤、包装</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百克</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480000021X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中药特殊调配（洗剂调配）</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480000022X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中药特殊调配（油剂调配）</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480000023X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中药特殊调配（酊剂调配）</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100毫升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宋体" w:hAnsi="宋体" w:eastAsia="宋体" w:cs="宋体"/>
                <w:i w:val="0"/>
                <w:color w:val="000000"/>
                <w:sz w:val="20"/>
                <w:szCs w:val="20"/>
                <w:u w:val="none"/>
                <w:lang w:val="en-US"/>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480000024X</w:t>
            </w:r>
          </w:p>
        </w:tc>
        <w:tc>
          <w:tcPr>
            <w:tcW w:w="2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实测经络针灸疗法</w:t>
            </w:r>
          </w:p>
        </w:tc>
        <w:tc>
          <w:tcPr>
            <w:tcW w:w="66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指使用</w:t>
            </w:r>
            <w:r>
              <w:rPr>
                <w:rStyle w:val="7"/>
                <w:rFonts w:eastAsia="宋体"/>
                <w:lang w:val="en-US" w:eastAsia="zh-CN" w:bidi="ar"/>
              </w:rPr>
              <w:t>仪器，</w:t>
            </w:r>
            <w:r>
              <w:rPr>
                <w:rStyle w:val="6"/>
                <w:rFonts w:eastAsia="宋体"/>
                <w:lang w:val="en-US" w:eastAsia="zh-CN" w:bidi="ar"/>
              </w:rPr>
              <w:t>在骨度法基础上再精准测经脉穴位，通过“经络辨证、定经取穴、经上一针、辨证吸氧”而达到防病治病。不含刺经络、吸氧费用。</w:t>
            </w:r>
          </w:p>
        </w:tc>
        <w:tc>
          <w:tcPr>
            <w:tcW w:w="1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p>
    <w:sectPr>
      <w:footerReference r:id="rId3" w:type="default"/>
      <w:pgSz w:w="16838" w:h="11906" w:orient="landscape"/>
      <w:pgMar w:top="1803" w:right="1440" w:bottom="1803" w:left="1440" w:header="851"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028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- 16 -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- 16 -</w:t>
                    </w:r>
                    <w:r>
                      <w:rPr>
                        <w:rFonts w:hint="eastAsia" w:ascii="仿宋_GB2312" w:hAnsi="仿宋_GB2312" w:eastAsia="仿宋_GB2312" w:cs="仿宋_GB2312"/>
                        <w:sz w:val="24"/>
                        <w:szCs w:val="24"/>
                        <w:lang w:eastAsia="zh-CN"/>
                      </w:rPr>
                      <w:fldChar w:fldCharType="end"/>
                    </w:r>
                  </w:p>
                </w:txbxContent>
              </v:textbox>
            </v:shape>
          </w:pict>
        </mc:Fallback>
      </mc:AlternateContent>
    </w:r>
    <w:r>
      <w:rPr>
        <w:rFonts w:hint="eastAsia" w:eastAsia="宋体"/>
        <w:lang w:val="en-US" w:eastAsia="zh-CN"/>
      </w:rPr>
      <w:t>.</w:t>
    </w:r>
    <w:r>
      <w:rPr>
        <w:rFonts w:hint="eastAsia"/>
        <w:lang w:val="en-US" w:eastAsia="zh-CN"/>
      </w:rPr>
      <w:tab/>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26771"/>
    <w:multiLevelType w:val="singleLevel"/>
    <w:tmpl w:val="95926771"/>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cda559a6845a5299c4bd075e64936c46@64682&amp;webOffice=1&amp;identityId=B90AE7C90E405BEDCEA365E0A39E099C&amp;token=dfba0cbf43f4441fa438c7e973a84ccc&amp;identityId=B90AE7C90E405BEDCEA365E0A39E099C&amp;wjbh=B202008503&amp;hddyid=LCA010001_HD_01&amp;fileSrcName=2020_06_17_17_45_47_B0751AA0EDA215F1C4E1CC841784E012.docx"/>
  </w:docVars>
  <w:rsids>
    <w:rsidRoot w:val="00172A27"/>
    <w:rsid w:val="001F30D8"/>
    <w:rsid w:val="004F00C2"/>
    <w:rsid w:val="005F74E2"/>
    <w:rsid w:val="00AE4E28"/>
    <w:rsid w:val="047066E2"/>
    <w:rsid w:val="04A754C1"/>
    <w:rsid w:val="05EA6099"/>
    <w:rsid w:val="063605D9"/>
    <w:rsid w:val="069E5704"/>
    <w:rsid w:val="07521CE9"/>
    <w:rsid w:val="07AF5262"/>
    <w:rsid w:val="07EB1C8C"/>
    <w:rsid w:val="08133FE6"/>
    <w:rsid w:val="095A3C61"/>
    <w:rsid w:val="0DE0385D"/>
    <w:rsid w:val="0E786EDB"/>
    <w:rsid w:val="0EE30F9F"/>
    <w:rsid w:val="0FEA7E3C"/>
    <w:rsid w:val="111526AD"/>
    <w:rsid w:val="116F3928"/>
    <w:rsid w:val="146C26A6"/>
    <w:rsid w:val="14BE7D40"/>
    <w:rsid w:val="15F47E6D"/>
    <w:rsid w:val="16760E5A"/>
    <w:rsid w:val="19020867"/>
    <w:rsid w:val="1CD3140C"/>
    <w:rsid w:val="1E143BB7"/>
    <w:rsid w:val="20CE356D"/>
    <w:rsid w:val="24027FB9"/>
    <w:rsid w:val="24317D43"/>
    <w:rsid w:val="26337267"/>
    <w:rsid w:val="288130EF"/>
    <w:rsid w:val="29706960"/>
    <w:rsid w:val="29801FE3"/>
    <w:rsid w:val="2BC2047B"/>
    <w:rsid w:val="2C1735B0"/>
    <w:rsid w:val="2D7C32F5"/>
    <w:rsid w:val="2E10165F"/>
    <w:rsid w:val="311E188D"/>
    <w:rsid w:val="32EA6A14"/>
    <w:rsid w:val="34BC6700"/>
    <w:rsid w:val="34C42792"/>
    <w:rsid w:val="34EE61A1"/>
    <w:rsid w:val="376F746E"/>
    <w:rsid w:val="388C747A"/>
    <w:rsid w:val="39D9300A"/>
    <w:rsid w:val="3A1B3815"/>
    <w:rsid w:val="3B5E117B"/>
    <w:rsid w:val="3EE84AAD"/>
    <w:rsid w:val="3FE73A66"/>
    <w:rsid w:val="419B12FC"/>
    <w:rsid w:val="41AA0644"/>
    <w:rsid w:val="458968FE"/>
    <w:rsid w:val="47470D53"/>
    <w:rsid w:val="475230AF"/>
    <w:rsid w:val="51A8351D"/>
    <w:rsid w:val="53AD4DAE"/>
    <w:rsid w:val="54B46FB8"/>
    <w:rsid w:val="554C0A2A"/>
    <w:rsid w:val="573A7D46"/>
    <w:rsid w:val="58AE4C70"/>
    <w:rsid w:val="5C3A3623"/>
    <w:rsid w:val="5CFE2369"/>
    <w:rsid w:val="5DC55EC0"/>
    <w:rsid w:val="5EA210D6"/>
    <w:rsid w:val="5F10485B"/>
    <w:rsid w:val="63B471BD"/>
    <w:rsid w:val="63BF38A3"/>
    <w:rsid w:val="65523AE9"/>
    <w:rsid w:val="656C22EE"/>
    <w:rsid w:val="671C4813"/>
    <w:rsid w:val="67A70A84"/>
    <w:rsid w:val="682C65FD"/>
    <w:rsid w:val="6A2B2B86"/>
    <w:rsid w:val="6A4A1906"/>
    <w:rsid w:val="6BD7707D"/>
    <w:rsid w:val="6D90477A"/>
    <w:rsid w:val="6E017081"/>
    <w:rsid w:val="6FC258A0"/>
    <w:rsid w:val="70B1598F"/>
    <w:rsid w:val="70EA5305"/>
    <w:rsid w:val="75A21D86"/>
    <w:rsid w:val="775D3524"/>
    <w:rsid w:val="77B97536"/>
    <w:rsid w:val="77BA0BDB"/>
    <w:rsid w:val="7A127B6E"/>
    <w:rsid w:val="7DCF321E"/>
    <w:rsid w:val="7F2F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YLBZJ</Company>
  <Pages>1</Pages>
  <Words>0</Words>
  <Characters>0</Characters>
  <Lines>0</Lines>
  <Paragraphs>0</Paragraphs>
  <TotalTime>61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2019-12-24T06:36:00Z</dcterms:created>
  <dc:creator>姚美玲</dc:creator>
  <cp:lastModifiedBy>王海泊</cp:lastModifiedBy>
  <cp:lastPrinted>2020-06-04T06:56:00Z</cp:lastPrinted>
  <dcterms:modified xsi:type="dcterms:W3CDTF">2020-06-17T11:15:46Z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