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position w:val="0"/>
          <w:sz w:val="32"/>
          <w:shd w:val="clear" w:fill="auto"/>
        </w:rPr>
        <w:t>附件</w:t>
      </w:r>
      <w:r>
        <w:rPr>
          <w:rFonts w:hint="eastAsia" w:eastAsia="黑体" w:cs="Times New Roman"/>
          <w:color w:val="auto"/>
          <w:spacing w:val="0"/>
          <w:position w:val="0"/>
          <w:sz w:val="32"/>
          <w:shd w:val="clear" w:fill="auto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32"/>
          <w:shd w:val="clear" w:fill="auto"/>
        </w:rPr>
        <w:t xml:space="preserve">              </w:t>
      </w:r>
    </w:p>
    <w:p>
      <w:pPr>
        <w:spacing w:before="0" w:after="0" w:line="240" w:lineRule="auto"/>
        <w:ind w:left="0" w:right="0" w:firstLine="0"/>
        <w:jc w:val="center"/>
        <w:rPr>
          <w:rFonts w:ascii="楷体_GB2312" w:hAnsi="楷体_GB2312" w:eastAsia="楷体_GB2312" w:cs="楷体_GB2312"/>
          <w:b/>
          <w:color w:val="auto"/>
          <w:spacing w:val="0"/>
          <w:position w:val="0"/>
          <w:sz w:val="36"/>
          <w:shd w:val="clear" w:fill="auto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  <w:lang w:eastAsia="zh-CN"/>
        </w:rPr>
        <w:t>深圳市</w:t>
      </w:r>
      <w:r>
        <w:rPr>
          <w:rFonts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</w:rPr>
        <w:t>新增医疗服务价格项目成本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  <w:lang w:eastAsia="zh-CN"/>
        </w:rPr>
        <w:t>测算</w:t>
      </w:r>
      <w:r>
        <w:rPr>
          <w:rFonts w:ascii="楷体_GB2312" w:hAnsi="楷体_GB2312" w:eastAsia="楷体_GB2312" w:cs="楷体_GB2312"/>
          <w:b/>
          <w:color w:val="auto"/>
          <w:spacing w:val="0"/>
          <w:position w:val="0"/>
          <w:sz w:val="44"/>
          <w:shd w:val="clear" w:fill="auto"/>
        </w:rPr>
        <w:t>表</w:t>
      </w:r>
    </w:p>
    <w:p>
      <w:pPr>
        <w:spacing w:before="0" w:after="156" w:line="240" w:lineRule="auto"/>
        <w:ind w:left="0" w:right="0" w:firstLine="0"/>
        <w:jc w:val="both"/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</w:pPr>
      <w:r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  <w:t xml:space="preserve">项目名称: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  <w:lang w:eastAsia="zh-CN"/>
        </w:rPr>
        <w:t>申</w:t>
      </w:r>
      <w:r>
        <w:rPr>
          <w:rFonts w:ascii="仿宋_GB2312" w:hAnsi="仿宋_GB2312" w:eastAsia="仿宋_GB2312" w:cs="仿宋_GB2312"/>
          <w:color w:val="auto"/>
          <w:spacing w:val="0"/>
          <w:position w:val="0"/>
          <w:sz w:val="18"/>
          <w:shd w:val="clear" w:fill="auto"/>
        </w:rPr>
        <w:t>报单位(医疗机构盖章):</w:t>
      </w:r>
    </w:p>
    <w:tbl>
      <w:tblPr>
        <w:tblStyle w:val="6"/>
        <w:tblW w:w="1325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5"/>
        <w:gridCol w:w="945"/>
        <w:gridCol w:w="1155"/>
        <w:gridCol w:w="1680"/>
        <w:gridCol w:w="1155"/>
        <w:gridCol w:w="236"/>
        <w:gridCol w:w="1549"/>
        <w:gridCol w:w="752"/>
        <w:gridCol w:w="721"/>
        <w:gridCol w:w="1152"/>
        <w:gridCol w:w="1050"/>
        <w:gridCol w:w="10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一、劳务支出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restart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参加人员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人数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工时(小时)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小时工资、福利额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技术员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护士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医师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三、固定资产折旧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（一）医疗仪器设备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设备名称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二、材料消耗支出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（一）卫生材料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55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（二）低值易耗品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品名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（三）试剂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（二）房屋及其它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数量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原值</w:t>
            </w: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使用年限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使用时间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（四）水电燃料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名称</w:t>
            </w: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单位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耗用量</w:t>
            </w: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单价</w:t>
            </w: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应计金额</w:t>
            </w: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0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549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小计</w:t>
            </w:r>
          </w:p>
        </w:tc>
        <w:tc>
          <w:tcPr>
            <w:tcW w:w="1473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6274" w:type="dxa"/>
            <w:gridSpan w:val="6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四、管理费及其他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（一）管理费分摊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01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（二）其它</w:t>
            </w:r>
          </w:p>
        </w:tc>
        <w:tc>
          <w:tcPr>
            <w:tcW w:w="72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805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94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68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115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36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20" w:lineRule="exact"/>
              <w:ind w:left="0" w:right="0" w:firstLine="0"/>
              <w:jc w:val="left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02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0"/>
                <w:position w:val="0"/>
                <w:sz w:val="18"/>
                <w:shd w:val="clear" w:fill="auto"/>
              </w:rPr>
              <w:t>五、项目成本合计</w:t>
            </w:r>
          </w:p>
        </w:tc>
        <w:tc>
          <w:tcPr>
            <w:tcW w:w="3252" w:type="dxa"/>
            <w:gridSpan w:val="3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20" w:lineRule="exact"/>
              <w:ind w:left="0" w:right="0" w:firstLine="0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2" w:hRule="atLeast"/>
          <w:jc w:val="center"/>
        </w:trPr>
        <w:tc>
          <w:tcPr>
            <w:tcW w:w="13250" w:type="dxa"/>
            <w:gridSpan w:val="12"/>
            <w:tcBorders>
              <w:top w:val="single" w:color="000000" w:sz="4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widowControl w:val="0"/>
              <w:spacing w:before="0" w:after="0" w:line="220" w:lineRule="exact"/>
              <w:ind w:left="0" w:right="0" w:firstLine="0"/>
              <w:jc w:val="left"/>
              <w:rPr>
                <w:rFonts w:hint="default" w:eastAsia="仿宋_GB2312"/>
                <w:color w:val="auto"/>
                <w:position w:val="0"/>
                <w:shd w:val="clear" w:fill="auto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-6"/>
                <w:position w:val="0"/>
                <w:sz w:val="18"/>
                <w:shd w:val="clear" w:fill="auto"/>
              </w:rPr>
              <w:t>说明：1.小时工资是指申报医院的平均小时工资（含福利、社保）;2.工时是指参与完成医疗服务项目人员的实际用时；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position w:val="0"/>
                <w:sz w:val="18"/>
                <w:shd w:val="clear" w:fill="auto"/>
                <w:lang w:val="en-US" w:eastAsia="zh-CN"/>
              </w:rPr>
              <w:t>3.使用年限为折旧年限。</w:t>
            </w:r>
          </w:p>
        </w:tc>
      </w:tr>
    </w:tbl>
    <w:p>
      <w:pPr>
        <w:spacing w:before="0" w:after="0" w:line="5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</w:p>
    <w:p>
      <w:pPr>
        <w:spacing w:before="0" w:after="0" w:line="500" w:lineRule="exact"/>
        <w:ind w:left="0" w:right="0" w:firstLine="0"/>
        <w:jc w:val="center"/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44"/>
          <w:shd w:val="clear" w:fill="auto"/>
        </w:rPr>
        <w:t>填表说明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一、人工成本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（一）工资、福利额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工资、福利额包含基本工资、津贴补贴、绩效工资、社会保障费、其他收入等。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（二）工时：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参与完成医疗服务项目人员的实际用时。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计算公式：小时工资、福利额（元/小时）=上年职工人均薪酬（上年卫生财务报表“医疗支出”科目的“工资”明细科目总额除以该年在册医务人员总人数）÷（12个月×22天×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u w:val="none"/>
          <w:shd w:val="clear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小时）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二、医用卫生材料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（一）卫生材料：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指该医疗服务价格项目应当使用的、市场价格和使用数量相对稳定的一次性医用卫生材料，如：输液器、输血器、注射器、采血针、普通输液胶贴、普通采血管、连接管、吸引器、采血管、普通缝合线及一次性手术包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（二）低值易耗品：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指医疗机构提供医疗服务过程中消耗的低值卫生材料。如：碘酒、酒精、棉球、棉花、棉签、纱布、普通敷料、帽子、口罩、鞋套、袜套、手套、手术衣、绷带、检查垫、压舌板、止血带、消毒液、弯盘等。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（注：实际消耗数量为每人每次实际耗用量，如一瓶酒精，可用20人次，则消耗数量为1/20瓶。）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（三）试剂：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诊疗项目中供多人使用的药品（不含患者处方独立领取的药品）及其他消耗品等，如：眼科检查时用的阿托品等。包括检测试剂、散装局麻药品、染色剂、耦合剂、保存液等。</w:t>
      </w:r>
    </w:p>
    <w:p>
      <w:pPr>
        <w:spacing w:before="0" w:after="0" w:line="500" w:lineRule="exact"/>
        <w:ind w:left="0" w:right="0" w:firstLine="96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（注：实际消耗数量为每人每次实际耗用量，如一个试剂盒可检测5人份，则消耗数量为1/5。）</w:t>
      </w:r>
    </w:p>
    <w:p>
      <w:pPr>
        <w:spacing w:before="0" w:after="0" w:line="500" w:lineRule="exact"/>
        <w:ind w:left="0" w:right="0" w:firstLine="0"/>
        <w:jc w:val="center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（四）水电燃料：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水电燃料消耗按实际消耗计算，计算公式：应摊金额=实际消耗数量×单价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三、固定资产折旧</w:t>
      </w:r>
    </w:p>
    <w:p>
      <w:pPr>
        <w:spacing w:before="0" w:after="0" w:line="500" w:lineRule="exact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（一）医疗仪器设备折旧：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计算公式：应摊金额=医疗仪器设备原值÷使用年限÷12个月÷22天÷8小时×设备使用时间</w:t>
      </w:r>
    </w:p>
    <w:p>
      <w:pPr>
        <w:spacing w:before="0" w:after="0" w:line="500" w:lineRule="exact"/>
        <w:ind w:left="0" w:right="0" w:firstLine="640"/>
        <w:jc w:val="both"/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（二）房屋及其他折旧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计算公式：应摊金额=房屋总造价÷房屋总面积（m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）÷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使用年限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÷12个月÷22天÷8小时×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实际使用面积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×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  <w:lang w:eastAsia="zh-CN"/>
        </w:rPr>
        <w:t>实际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使用时间</w:t>
      </w:r>
    </w:p>
    <w:p>
      <w:pPr>
        <w:spacing w:before="0" w:after="0" w:line="500" w:lineRule="exact"/>
        <w:ind w:left="0" w:right="0" w:firstLine="640"/>
        <w:jc w:val="both"/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</w:pPr>
      <w:r>
        <w:rPr>
          <w:rFonts w:hint="eastAsia" w:ascii="黑体" w:hAnsi="黑体" w:eastAsia="黑体" w:cs="黑体"/>
          <w:color w:val="auto"/>
          <w:spacing w:val="0"/>
          <w:position w:val="0"/>
          <w:sz w:val="32"/>
          <w:shd w:val="clear" w:fill="auto"/>
          <w:lang w:eastAsia="zh-CN"/>
        </w:rPr>
        <w:t>四</w:t>
      </w:r>
      <w:r>
        <w:rPr>
          <w:rFonts w:ascii="黑体" w:hAnsi="黑体" w:eastAsia="黑体" w:cs="黑体"/>
          <w:color w:val="auto"/>
          <w:spacing w:val="0"/>
          <w:position w:val="0"/>
          <w:sz w:val="32"/>
          <w:shd w:val="clear" w:fill="auto"/>
        </w:rPr>
        <w:t>、管理费及其他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（一）管理费分摊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fill="auto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根据上年度上报卫生系统统计报表的管理费用率计算项目的管理费。</w:t>
      </w:r>
    </w:p>
    <w:p>
      <w:pPr>
        <w:spacing w:before="0" w:after="0" w:line="500" w:lineRule="exact"/>
        <w:ind w:left="0" w:right="0" w:firstLine="640"/>
        <w:jc w:val="both"/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</w:pPr>
      <w:r>
        <w:rPr>
          <w:rFonts w:ascii="楷体" w:hAnsi="楷体" w:eastAsia="楷体" w:cs="楷体"/>
          <w:color w:val="auto"/>
          <w:spacing w:val="0"/>
          <w:position w:val="0"/>
          <w:sz w:val="32"/>
          <w:shd w:val="clear" w:fill="auto"/>
        </w:rPr>
        <w:t>（二）计算公式：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shd w:val="clear" w:fill="auto"/>
        </w:rPr>
        <w:t>管理费分摊=（劳务支出+材料消耗支出+固定资产折旧费用）×管理费用率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720" w:footer="720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- 4 -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40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40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5267B"/>
    <w:rsid w:val="048E3DB1"/>
    <w:rsid w:val="092F2ABF"/>
    <w:rsid w:val="0AFE2111"/>
    <w:rsid w:val="0C0470CB"/>
    <w:rsid w:val="10D43EC3"/>
    <w:rsid w:val="15141A44"/>
    <w:rsid w:val="17CC27BB"/>
    <w:rsid w:val="181D3583"/>
    <w:rsid w:val="1AE15D11"/>
    <w:rsid w:val="1D2E5BC6"/>
    <w:rsid w:val="1E106CD0"/>
    <w:rsid w:val="1E8003CA"/>
    <w:rsid w:val="22356FC0"/>
    <w:rsid w:val="22C54475"/>
    <w:rsid w:val="231E0DF3"/>
    <w:rsid w:val="23BC249A"/>
    <w:rsid w:val="249B47F0"/>
    <w:rsid w:val="268F7C7A"/>
    <w:rsid w:val="294D6785"/>
    <w:rsid w:val="2E7C3F77"/>
    <w:rsid w:val="33364C61"/>
    <w:rsid w:val="34BC4884"/>
    <w:rsid w:val="35A672BC"/>
    <w:rsid w:val="3800103E"/>
    <w:rsid w:val="38D3071F"/>
    <w:rsid w:val="38F7317C"/>
    <w:rsid w:val="39B83AC4"/>
    <w:rsid w:val="39FB4527"/>
    <w:rsid w:val="3C07343E"/>
    <w:rsid w:val="3CA91439"/>
    <w:rsid w:val="3E2C501C"/>
    <w:rsid w:val="3FD526E1"/>
    <w:rsid w:val="406D69EF"/>
    <w:rsid w:val="4109651B"/>
    <w:rsid w:val="416B37EB"/>
    <w:rsid w:val="47E216AB"/>
    <w:rsid w:val="4FBB32B9"/>
    <w:rsid w:val="527706CC"/>
    <w:rsid w:val="53DB2907"/>
    <w:rsid w:val="5CA93CF4"/>
    <w:rsid w:val="60882B40"/>
    <w:rsid w:val="61271C16"/>
    <w:rsid w:val="62FF1133"/>
    <w:rsid w:val="638B5F6F"/>
    <w:rsid w:val="64151FBF"/>
    <w:rsid w:val="64EC684C"/>
    <w:rsid w:val="65233B6E"/>
    <w:rsid w:val="65F64179"/>
    <w:rsid w:val="68B067AD"/>
    <w:rsid w:val="6982191A"/>
    <w:rsid w:val="6BA71731"/>
    <w:rsid w:val="6DF65CFE"/>
    <w:rsid w:val="6E7F2B7A"/>
    <w:rsid w:val="751D4701"/>
    <w:rsid w:val="75C94AFC"/>
    <w:rsid w:val="760F3CF7"/>
    <w:rsid w:val="770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2019-09-16T07:39:00Z</dcterms:created>
  <dc:creator>姚丽平</dc:creator>
  <cp:lastModifiedBy>冯娟</cp:lastModifiedBy>
  <cp:lastPrinted>2020-02-03T02:32:00Z</cp:lastPrinted>
  <dcterms:modified xsi:type="dcterms:W3CDTF">2020-02-10T05:39:54Z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0739inqofqajk90mrd5jh0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27100</vt:i4>
  </property>
  <property fmtid="{D5CDD505-2E9C-101B-9397-08002B2CF9AE}" pid="9" name="cp_itemType">
    <vt:lpwstr>missive</vt:lpwstr>
  </property>
  <property fmtid="{D5CDD505-2E9C-101B-9397-08002B2CF9AE}" pid="10" name="cp_title">
    <vt:lpwstr>广东省医疗保障局转发国家医疗保障局关于完善“互联网＋”医疗服务价格和医保支付政策指导意见的通知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WPSExtOfficeTab;btnShowRevision;btnUploadOA;btnSaveAsLocal;btnImportDoc</vt:lpwstr>
  </property>
  <property fmtid="{D5CDD505-2E9C-101B-9397-08002B2CF9AE}" pid="18" name="uploadPath">
    <vt:lpwstr>https://xtbgsafe.gdzwfw.gov.cn/ybjoa/instance-web/minstone/wfDocBody/saveDocBodyWps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19" name="urlParams">
    <vt:lpwstr>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0" name="lockDocUrl">
    <vt:lpwstr>https://xtbgsafe.gdzwfw.gov.cn/ybjoa/instance-web/minstone/wfDocBody/getLockInfo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1" name="copyUrl">
    <vt:lpwstr>https://xtbgsafe.gdzwfw.gov.cn/ybjoa/instance-web/minstone/wfDocBody/copyDoc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2" name="unLockDocurl">
    <vt:lpwstr>https://xtbgsafe.gdzwfw.gov.cn/ybjoa/instance-web/minstone/wfDocBody/unLockDoc?flowInid=27100&amp;stepInco=182938&amp;dealIndx=0&amp;openType=1&amp;flowId=162&amp;stepCode=370&amp;readOnly=0&amp;curUserCode=13682274784&amp;sysCode=MD_YBJ_OA&amp;tenantCode=GDSXXZX&amp;r=0.5814015666968713&amp;fileCode=a81b17e89e8041c5a99e0f90624bfc97&amp;id=a81b17e89e8041c5a99e0f90624bfc97&amp;docTempCode=&amp;userUuid=b383729670ca4c7498b8982254ec9555</vt:lpwstr>
  </property>
  <property fmtid="{D5CDD505-2E9C-101B-9397-08002B2CF9AE}" pid="23" name="ribbonExt">
    <vt:lpwstr>{"WPSExtOfficeTab":{"OnGetEnabled":true,"OnGetVisible":true},"btnUploadOA":{"OnGetEnabled":true,"OnGetVisible":true,"OnGetLabel":"保存","GetImage":"icon/uploadoa.ico"},"btnSaveAsLocal":{"OnGetEnabled":true,"OnGetVisible":true,"OnGetLabel":"另存文件","GetImage":"icon/DecomposeDoc.ico"},"btnImportDoc":{"OnGetEnabled":true,"OnGetVisible":tru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稿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4" name="showSavePromptFlag">
    <vt:lpwstr>true</vt:lpwstr>
  </property>
</Properties>
</file>