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深圳市政协</w:t>
      </w:r>
      <w:r>
        <w:rPr>
          <w:rFonts w:hint="eastAsia"/>
          <w:sz w:val="44"/>
          <w:szCs w:val="44"/>
          <w:lang w:val="en-US" w:eastAsia="zh-CN"/>
        </w:rPr>
        <w:t>2019</w:t>
      </w:r>
      <w:r>
        <w:rPr>
          <w:rFonts w:hint="eastAsia"/>
          <w:sz w:val="44"/>
          <w:szCs w:val="44"/>
        </w:rPr>
        <w:t>年提案</w:t>
      </w:r>
      <w:r>
        <w:rPr>
          <w:rFonts w:hint="eastAsia"/>
          <w:sz w:val="44"/>
          <w:szCs w:val="44"/>
          <w:lang w:eastAsia="zh-CN"/>
        </w:rPr>
        <w:t>工作</w:t>
      </w:r>
      <w:r>
        <w:rPr>
          <w:rFonts w:hint="eastAsia"/>
          <w:sz w:val="44"/>
          <w:szCs w:val="44"/>
        </w:rPr>
        <w:t>清单</w:t>
      </w:r>
      <w:bookmarkStart w:id="1" w:name="_GoBack"/>
      <w:bookmarkEnd w:id="1"/>
      <w:r>
        <w:rPr>
          <w:rFonts w:hint="eastAsia"/>
          <w:sz w:val="44"/>
          <w:szCs w:val="44"/>
        </w:rPr>
        <w:t>表</w:t>
      </w:r>
    </w:p>
    <w:p>
      <w:pPr>
        <w:jc w:val="left"/>
        <w:rPr>
          <w:sz w:val="24"/>
        </w:rPr>
      </w:pPr>
      <w:r>
        <w:rPr>
          <w:rFonts w:hint="eastAsia" w:ascii="宋体" w:hAnsi="宋体" w:cs="宋体"/>
          <w:kern w:val="0"/>
          <w:sz w:val="20"/>
          <w:szCs w:val="20"/>
          <w:lang w:val="en-US" w:eastAsia="zh-CN"/>
        </w:rPr>
        <w:t>市医疗保障局</w:t>
      </w:r>
      <w:r>
        <w:rPr>
          <w:sz w:val="24"/>
        </w:rPr>
        <w:t xml:space="preserve">                                                               </w:t>
      </w:r>
      <w:r>
        <w:rPr>
          <w:rFonts w:hint="eastAsia"/>
          <w:sz w:val="24"/>
          <w:szCs w:val="24"/>
        </w:rPr>
        <w:t>整理时间：</w:t>
      </w:r>
      <w:bookmarkStart w:id="0" w:name="OLE_LINK2"/>
      <w:bookmarkEnd w:id="0"/>
      <w:r>
        <w:rPr>
          <w:rFonts w:hint="eastAsia"/>
          <w:sz w:val="24"/>
          <w:szCs w:val="24"/>
          <w:lang w:val="en-US" w:eastAsia="zh-CN"/>
        </w:rPr>
        <w:t>2019年10月12日</w:t>
      </w:r>
    </w:p>
    <w:tbl>
      <w:tblPr>
        <w:tblStyle w:val="2"/>
        <w:tblW w:w="13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808"/>
        <w:gridCol w:w="730"/>
        <w:gridCol w:w="749"/>
        <w:gridCol w:w="942"/>
        <w:gridCol w:w="1963"/>
        <w:gridCol w:w="2088"/>
        <w:gridCol w:w="2105"/>
        <w:gridCol w:w="2092"/>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590" w:type="dxa"/>
            <w:vMerge w:val="restart"/>
            <w:vAlign w:val="center"/>
          </w:tcPr>
          <w:p>
            <w:pPr>
              <w:jc w:val="center"/>
              <w:rPr>
                <w:rFonts w:ascii="黑体" w:hAnsi="黑体" w:eastAsia="黑体"/>
                <w:b/>
                <w:kern w:val="0"/>
                <w:szCs w:val="21"/>
              </w:rPr>
            </w:pPr>
            <w:r>
              <w:rPr>
                <w:rFonts w:hint="eastAsia" w:ascii="黑体" w:hAnsi="黑体" w:eastAsia="黑体"/>
                <w:b/>
                <w:kern w:val="0"/>
                <w:szCs w:val="21"/>
              </w:rPr>
              <w:t>案号</w:t>
            </w:r>
          </w:p>
        </w:tc>
        <w:tc>
          <w:tcPr>
            <w:tcW w:w="808" w:type="dxa"/>
            <w:vMerge w:val="restart"/>
            <w:vAlign w:val="center"/>
          </w:tcPr>
          <w:p>
            <w:pPr>
              <w:jc w:val="center"/>
              <w:rPr>
                <w:rFonts w:ascii="黑体" w:hAnsi="黑体" w:eastAsia="黑体"/>
                <w:b/>
                <w:kern w:val="0"/>
                <w:szCs w:val="21"/>
              </w:rPr>
            </w:pPr>
            <w:r>
              <w:rPr>
                <w:rFonts w:hint="eastAsia" w:ascii="黑体" w:hAnsi="黑体" w:eastAsia="黑体"/>
                <w:b/>
                <w:kern w:val="0"/>
                <w:szCs w:val="21"/>
              </w:rPr>
              <w:t>案由</w:t>
            </w:r>
          </w:p>
        </w:tc>
        <w:tc>
          <w:tcPr>
            <w:tcW w:w="730" w:type="dxa"/>
            <w:vMerge w:val="restart"/>
            <w:vAlign w:val="center"/>
          </w:tcPr>
          <w:p>
            <w:pPr>
              <w:jc w:val="center"/>
              <w:rPr>
                <w:rFonts w:ascii="黑体" w:hAnsi="黑体" w:eastAsia="黑体"/>
                <w:b/>
                <w:kern w:val="0"/>
                <w:szCs w:val="21"/>
              </w:rPr>
            </w:pPr>
            <w:r>
              <w:rPr>
                <w:rFonts w:hint="eastAsia" w:ascii="黑体" w:hAnsi="黑体" w:eastAsia="黑体"/>
                <w:b/>
                <w:kern w:val="0"/>
                <w:szCs w:val="21"/>
              </w:rPr>
              <w:t>第一提案人</w:t>
            </w:r>
          </w:p>
        </w:tc>
        <w:tc>
          <w:tcPr>
            <w:tcW w:w="1691" w:type="dxa"/>
            <w:gridSpan w:val="2"/>
            <w:vAlign w:val="center"/>
          </w:tcPr>
          <w:p>
            <w:pPr>
              <w:jc w:val="center"/>
              <w:rPr>
                <w:rFonts w:ascii="黑体" w:hAnsi="黑体" w:eastAsia="黑体"/>
                <w:b/>
                <w:kern w:val="0"/>
                <w:szCs w:val="21"/>
              </w:rPr>
            </w:pPr>
            <w:r>
              <w:rPr>
                <w:rFonts w:hint="eastAsia" w:ascii="黑体" w:hAnsi="黑体" w:eastAsia="黑体"/>
                <w:b/>
                <w:kern w:val="0"/>
                <w:szCs w:val="21"/>
              </w:rPr>
              <w:t>办理单位</w:t>
            </w:r>
          </w:p>
        </w:tc>
        <w:tc>
          <w:tcPr>
            <w:tcW w:w="1963" w:type="dxa"/>
            <w:vMerge w:val="restart"/>
            <w:vAlign w:val="center"/>
          </w:tcPr>
          <w:p>
            <w:pPr>
              <w:jc w:val="center"/>
              <w:rPr>
                <w:rFonts w:ascii="黑体" w:hAnsi="黑体" w:eastAsia="黑体"/>
                <w:b/>
                <w:kern w:val="0"/>
                <w:szCs w:val="21"/>
              </w:rPr>
            </w:pPr>
            <w:r>
              <w:rPr>
                <w:rFonts w:hint="eastAsia" w:ascii="黑体" w:hAnsi="黑体" w:eastAsia="黑体"/>
                <w:b/>
                <w:kern w:val="0"/>
                <w:szCs w:val="21"/>
              </w:rPr>
              <w:t>提案意见建议</w:t>
            </w:r>
          </w:p>
        </w:tc>
        <w:tc>
          <w:tcPr>
            <w:tcW w:w="2088" w:type="dxa"/>
            <w:vMerge w:val="restart"/>
            <w:vAlign w:val="center"/>
          </w:tcPr>
          <w:p>
            <w:pPr>
              <w:jc w:val="center"/>
              <w:rPr>
                <w:rFonts w:ascii="黑体" w:hAnsi="黑体" w:eastAsia="黑体"/>
                <w:b/>
                <w:kern w:val="0"/>
                <w:szCs w:val="21"/>
              </w:rPr>
            </w:pPr>
            <w:r>
              <w:rPr>
                <w:rFonts w:hint="eastAsia" w:ascii="黑体" w:hAnsi="黑体" w:eastAsia="黑体"/>
                <w:b/>
                <w:kern w:val="0"/>
                <w:szCs w:val="21"/>
                <w:lang w:eastAsia="zh-CN"/>
              </w:rPr>
              <w:t>当年</w:t>
            </w:r>
            <w:r>
              <w:rPr>
                <w:rFonts w:hint="eastAsia" w:ascii="黑体" w:hAnsi="黑体" w:eastAsia="黑体"/>
                <w:b/>
                <w:kern w:val="0"/>
                <w:szCs w:val="21"/>
              </w:rPr>
              <w:t>已完成</w:t>
            </w:r>
            <w:r>
              <w:rPr>
                <w:rFonts w:hint="eastAsia" w:ascii="黑体" w:hAnsi="黑体" w:eastAsia="黑体"/>
                <w:b/>
                <w:kern w:val="0"/>
                <w:szCs w:val="21"/>
                <w:lang w:eastAsia="zh-CN"/>
              </w:rPr>
              <w:t>的</w:t>
            </w:r>
            <w:r>
              <w:rPr>
                <w:rFonts w:hint="eastAsia" w:ascii="黑体" w:hAnsi="黑体" w:eastAsia="黑体"/>
                <w:b/>
                <w:kern w:val="0"/>
                <w:szCs w:val="21"/>
              </w:rPr>
              <w:t>事项</w:t>
            </w:r>
          </w:p>
        </w:tc>
        <w:tc>
          <w:tcPr>
            <w:tcW w:w="2105" w:type="dxa"/>
            <w:vMerge w:val="restart"/>
            <w:vAlign w:val="center"/>
          </w:tcPr>
          <w:p>
            <w:pPr>
              <w:jc w:val="center"/>
              <w:rPr>
                <w:rFonts w:ascii="黑体" w:hAnsi="黑体" w:eastAsia="黑体"/>
                <w:b/>
                <w:kern w:val="0"/>
                <w:szCs w:val="21"/>
              </w:rPr>
            </w:pPr>
            <w:r>
              <w:rPr>
                <w:rFonts w:hint="eastAsia" w:ascii="黑体" w:hAnsi="黑体" w:eastAsia="黑体"/>
                <w:b/>
                <w:kern w:val="0"/>
                <w:szCs w:val="21"/>
                <w:lang w:eastAsia="zh-CN"/>
              </w:rPr>
              <w:t>当年已</w:t>
            </w:r>
            <w:r>
              <w:rPr>
                <w:rFonts w:hint="eastAsia" w:ascii="黑体" w:hAnsi="黑体" w:eastAsia="黑体"/>
                <w:b/>
                <w:kern w:val="0"/>
                <w:szCs w:val="21"/>
              </w:rPr>
              <w:t>推动的工作</w:t>
            </w:r>
          </w:p>
        </w:tc>
        <w:tc>
          <w:tcPr>
            <w:tcW w:w="2092" w:type="dxa"/>
            <w:vMerge w:val="restart"/>
            <w:vAlign w:val="center"/>
          </w:tcPr>
          <w:p>
            <w:pPr>
              <w:jc w:val="center"/>
              <w:rPr>
                <w:rFonts w:hint="eastAsia" w:ascii="黑体" w:hAnsi="黑体" w:eastAsia="黑体"/>
                <w:b/>
                <w:kern w:val="0"/>
                <w:szCs w:val="21"/>
                <w:lang w:val="en-US" w:eastAsia="zh-CN"/>
              </w:rPr>
            </w:pPr>
            <w:r>
              <w:rPr>
                <w:rFonts w:hint="eastAsia" w:ascii="黑体" w:hAnsi="黑体" w:eastAsia="黑体"/>
                <w:b/>
                <w:kern w:val="0"/>
                <w:szCs w:val="21"/>
                <w:lang w:val="en-US" w:eastAsia="zh-CN"/>
              </w:rPr>
              <w:t>明年待落实事项</w:t>
            </w:r>
          </w:p>
        </w:tc>
        <w:tc>
          <w:tcPr>
            <w:tcW w:w="1301" w:type="dxa"/>
            <w:vMerge w:val="restart"/>
            <w:vAlign w:val="center"/>
          </w:tcPr>
          <w:p>
            <w:pPr>
              <w:jc w:val="center"/>
              <w:rPr>
                <w:rFonts w:hint="eastAsia" w:ascii="黑体" w:hAnsi="黑体" w:eastAsia="黑体"/>
                <w:b/>
                <w:kern w:val="0"/>
                <w:szCs w:val="21"/>
                <w:lang w:val="en-US" w:eastAsia="zh-CN"/>
              </w:rPr>
            </w:pPr>
            <w:r>
              <w:rPr>
                <w:rFonts w:hint="eastAsia" w:ascii="黑体" w:hAnsi="黑体" w:eastAsia="黑体"/>
                <w:b/>
                <w:kern w:val="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590" w:type="dxa"/>
            <w:vMerge w:val="continue"/>
            <w:vAlign w:val="center"/>
          </w:tcPr>
          <w:p>
            <w:pPr>
              <w:jc w:val="center"/>
              <w:rPr>
                <w:rFonts w:ascii="黑体" w:hAnsi="黑体" w:eastAsia="黑体"/>
                <w:kern w:val="0"/>
                <w:szCs w:val="21"/>
              </w:rPr>
            </w:pPr>
          </w:p>
        </w:tc>
        <w:tc>
          <w:tcPr>
            <w:tcW w:w="808" w:type="dxa"/>
            <w:vMerge w:val="continue"/>
            <w:vAlign w:val="center"/>
          </w:tcPr>
          <w:p>
            <w:pPr>
              <w:rPr>
                <w:rFonts w:ascii="黑体" w:hAnsi="黑体" w:eastAsia="黑体"/>
                <w:kern w:val="0"/>
                <w:szCs w:val="21"/>
              </w:rPr>
            </w:pPr>
          </w:p>
        </w:tc>
        <w:tc>
          <w:tcPr>
            <w:tcW w:w="730" w:type="dxa"/>
            <w:vMerge w:val="continue"/>
            <w:vAlign w:val="center"/>
          </w:tcPr>
          <w:p>
            <w:pPr>
              <w:rPr>
                <w:rFonts w:ascii="黑体" w:hAnsi="黑体" w:eastAsia="黑体"/>
                <w:kern w:val="0"/>
                <w:szCs w:val="21"/>
              </w:rPr>
            </w:pPr>
          </w:p>
        </w:tc>
        <w:tc>
          <w:tcPr>
            <w:tcW w:w="749" w:type="dxa"/>
            <w:vAlign w:val="center"/>
          </w:tcPr>
          <w:p>
            <w:pPr>
              <w:jc w:val="center"/>
              <w:rPr>
                <w:rFonts w:ascii="黑体" w:hAnsi="黑体" w:eastAsia="黑体"/>
                <w:b/>
                <w:kern w:val="0"/>
                <w:szCs w:val="21"/>
              </w:rPr>
            </w:pPr>
            <w:r>
              <w:rPr>
                <w:rFonts w:hint="eastAsia" w:ascii="黑体" w:hAnsi="黑体" w:eastAsia="黑体"/>
                <w:b/>
                <w:kern w:val="0"/>
                <w:szCs w:val="21"/>
              </w:rPr>
              <w:t>承办</w:t>
            </w:r>
          </w:p>
          <w:p>
            <w:pPr>
              <w:jc w:val="center"/>
              <w:rPr>
                <w:rFonts w:ascii="黑体" w:hAnsi="黑体" w:eastAsia="黑体"/>
                <w:b/>
                <w:kern w:val="0"/>
                <w:szCs w:val="21"/>
              </w:rPr>
            </w:pPr>
            <w:r>
              <w:rPr>
                <w:rFonts w:hint="eastAsia" w:ascii="黑体" w:hAnsi="黑体" w:eastAsia="黑体"/>
                <w:b/>
                <w:kern w:val="0"/>
                <w:szCs w:val="21"/>
              </w:rPr>
              <w:t>（主办）</w:t>
            </w:r>
          </w:p>
        </w:tc>
        <w:tc>
          <w:tcPr>
            <w:tcW w:w="942" w:type="dxa"/>
            <w:vAlign w:val="center"/>
          </w:tcPr>
          <w:p>
            <w:pPr>
              <w:jc w:val="center"/>
              <w:rPr>
                <w:rFonts w:ascii="黑体" w:hAnsi="黑体" w:eastAsia="黑体"/>
                <w:b/>
                <w:kern w:val="0"/>
                <w:szCs w:val="21"/>
              </w:rPr>
            </w:pPr>
            <w:r>
              <w:rPr>
                <w:rFonts w:hint="eastAsia" w:ascii="黑体" w:hAnsi="黑体" w:eastAsia="黑体"/>
                <w:b/>
                <w:kern w:val="0"/>
                <w:szCs w:val="21"/>
              </w:rPr>
              <w:t>分办</w:t>
            </w:r>
          </w:p>
          <w:p>
            <w:pPr>
              <w:jc w:val="center"/>
              <w:rPr>
                <w:rFonts w:ascii="黑体" w:hAnsi="黑体" w:eastAsia="黑体"/>
                <w:b/>
                <w:kern w:val="0"/>
                <w:szCs w:val="21"/>
              </w:rPr>
            </w:pPr>
            <w:r>
              <w:rPr>
                <w:rFonts w:hint="eastAsia" w:ascii="黑体" w:hAnsi="黑体" w:eastAsia="黑体"/>
                <w:b/>
                <w:kern w:val="0"/>
                <w:szCs w:val="21"/>
              </w:rPr>
              <w:t>（会办）</w:t>
            </w:r>
          </w:p>
        </w:tc>
        <w:tc>
          <w:tcPr>
            <w:tcW w:w="1963" w:type="dxa"/>
            <w:vMerge w:val="continue"/>
            <w:vAlign w:val="center"/>
          </w:tcPr>
          <w:p>
            <w:pPr>
              <w:rPr>
                <w:rFonts w:ascii="黑体" w:hAnsi="黑体" w:eastAsia="黑体"/>
                <w:b/>
                <w:bCs/>
                <w:kern w:val="0"/>
                <w:szCs w:val="21"/>
              </w:rPr>
            </w:pPr>
          </w:p>
        </w:tc>
        <w:tc>
          <w:tcPr>
            <w:tcW w:w="2088" w:type="dxa"/>
            <w:vMerge w:val="continue"/>
            <w:vAlign w:val="center"/>
          </w:tcPr>
          <w:p>
            <w:pPr>
              <w:rPr>
                <w:rFonts w:ascii="黑体" w:hAnsi="黑体" w:eastAsia="黑体"/>
                <w:b/>
                <w:bCs/>
                <w:kern w:val="0"/>
                <w:szCs w:val="21"/>
              </w:rPr>
            </w:pPr>
          </w:p>
        </w:tc>
        <w:tc>
          <w:tcPr>
            <w:tcW w:w="2105" w:type="dxa"/>
            <w:vMerge w:val="continue"/>
            <w:vAlign w:val="center"/>
          </w:tcPr>
          <w:p>
            <w:pPr>
              <w:rPr>
                <w:rFonts w:ascii="黑体" w:hAnsi="黑体" w:eastAsia="黑体"/>
                <w:b/>
                <w:bCs/>
                <w:kern w:val="0"/>
                <w:szCs w:val="21"/>
              </w:rPr>
            </w:pPr>
          </w:p>
        </w:tc>
        <w:tc>
          <w:tcPr>
            <w:tcW w:w="2092" w:type="dxa"/>
            <w:vMerge w:val="continue"/>
            <w:vAlign w:val="center"/>
          </w:tcPr>
          <w:p>
            <w:pPr>
              <w:rPr>
                <w:rFonts w:ascii="黑体" w:hAnsi="黑体" w:eastAsia="黑体"/>
                <w:b/>
                <w:bCs/>
                <w:kern w:val="0"/>
                <w:szCs w:val="21"/>
              </w:rPr>
            </w:pPr>
          </w:p>
        </w:tc>
        <w:tc>
          <w:tcPr>
            <w:tcW w:w="1301" w:type="dxa"/>
            <w:vMerge w:val="continue"/>
            <w:vAlign w:val="center"/>
          </w:tcPr>
          <w:p>
            <w:pPr>
              <w:rPr>
                <w:rFonts w:ascii="黑体" w:hAnsi="黑体" w:eastAsia="黑体"/>
                <w:b/>
                <w:bCs/>
                <w:kern w:val="0"/>
                <w:szCs w:val="21"/>
              </w:rPr>
            </w:pPr>
          </w:p>
        </w:tc>
      </w:tr>
      <w:tr>
        <w:tc>
          <w:tcPr>
            <w:tcW w:w="2310" w:type="dxa"/>
            <w:vMerge w:val="restart"/>
          </w:tcPr>
          <w:p>
            <w:pPr/>
            <w:r>
              <w:rPr>
                <w:lang w:val="zh-CN"/>
              </w:rPr>
              <w:t>20190268</w:t>
            </w:r>
          </w:p>
        </w:tc>
        <w:tc>
          <w:tcPr>
            <w:tcW w:w="2310" w:type="dxa"/>
            <w:vMerge w:val="restart"/>
          </w:tcPr>
          <w:p>
            <w:pPr/>
            <w:r>
              <w:rPr>
                <w:lang w:val="zh-CN"/>
              </w:rPr>
              <w:t>关于支持我市中医药发展的建议</w:t>
            </w:r>
          </w:p>
        </w:tc>
        <w:tc>
          <w:tcPr>
            <w:tcW w:w="2310" w:type="dxa"/>
            <w:vMerge w:val="restart"/>
          </w:tcPr>
          <w:p>
            <w:pPr/>
            <w:r>
              <w:rPr>
                <w:lang w:val="zh-CN"/>
              </w:rPr>
              <w:t>周晓梅</w:t>
            </w:r>
          </w:p>
        </w:tc>
        <w:tc>
          <w:tcPr>
            <w:tcW w:w="2310" w:type="dxa"/>
            <w:vMerge w:val="restart"/>
          </w:tcPr>
          <w:p>
            <w:pPr/>
            <w:r>
              <w:rPr>
                <w:lang w:val="zh-CN"/>
              </w:rPr>
              <w:t>市医疗保障局</w:t>
            </w:r>
          </w:p>
        </w:tc>
        <w:tc>
          <w:tcPr>
            <w:tcW w:w="2310" w:type="dxa"/>
            <w:vMerge w:val="restart"/>
          </w:tcPr>
          <w:p>
            <w:pPr/>
            <w:r>
              <w:rPr>
                <w:lang w:val="zh-CN"/>
              </w:rPr>
              <w:t>市财政局,市卫生健康委员会</w:t>
            </w:r>
          </w:p>
        </w:tc>
        <w:tc>
          <w:tcPr>
            <w:tcW w:w="2310" w:type="dxa"/>
          </w:tcPr>
          <w:p>
            <w:pPr/>
            <w:r>
              <w:rPr>
                <w:lang w:val="zh-CN"/>
              </w:rPr>
              <w:t>1.严格执行国家、省卫计委相关政策，恢复我市中药饮片加成</w:t>
            </w:r>
          </w:p>
        </w:tc>
        <w:tc>
          <w:tcPr>
            <w:tcW w:w="2310" w:type="dxa"/>
          </w:tcPr>
          <w:p>
            <w:pPr/>
            <w:r>
              <w:rPr>
                <w:lang w:val="zh-CN"/>
              </w:rPr>
              <w:t>深圳市为全国首批医改试点城市，2012年开始在全市范围内取消了包括中药饮片在内的全部药品加成。为减少因此而造成的对中医药工作的影响，市区政府和有关部门一直积极推动有关补偿机制的建立和中医药政策的落实，不断完善支持中医药工作的长效补偿机制，确保中医药事业的稳定可持续发展。</w:t>
            </w:r>
          </w:p>
        </w:tc>
        <w:tc>
          <w:tcPr>
            <w:tcW w:w="2310" w:type="dxa"/>
          </w:tcPr>
          <w:p>
            <w:pPr/>
            <w:r>
              <w:rPr>
                <w:lang w:val="zh-CN"/>
              </w:rPr>
              <w:t>已推动中医药事业可持续发展。</w:t>
            </w:r>
          </w:p>
        </w:tc>
        <w:tc>
          <w:tcPr>
            <w:tcW w:w="2310" w:type="dxa"/>
          </w:tcPr>
          <w:p>
            <w:pPr/>
            <w:r>
              <w:rPr>
                <w:lang w:val="zh-CN"/>
              </w:rPr>
              <w:t>继续支持中医药事业发展。</w:t>
            </w:r>
          </w:p>
        </w:tc>
        <w:tc>
          <w:tcPr>
            <w:tcW w:w="2310" w:type="dxa"/>
          </w:tcPr>
          <w:p>
            <w:pPr/>
          </w:p>
        </w:tc>
      </w:tr>
      <w:tr>
        <w:tc>
          <w:tcPr>
            <w:tcW w:w="2310" w:type="dxa"/>
            <w:vMerge/>
          </w:tcPr>
          <w:p>
            <w:pPr/>
          </w:p>
        </w:tc>
        <w:tc>
          <w:tcPr>
            <w:tcW w:w="2310" w:type="dxa"/>
            <w:vMerge/>
          </w:tcPr>
          <w:p>
            <w:pPr/>
          </w:p>
        </w:tc>
        <w:tc>
          <w:tcPr>
            <w:tcW w:w="2310" w:type="dxa"/>
            <w:vMerge/>
          </w:tcPr>
          <w:p>
            <w:pPr/>
          </w:p>
        </w:tc>
        <w:tc>
          <w:tcPr>
            <w:tcW w:w="2310" w:type="dxa"/>
            <w:vMerge/>
          </w:tcPr>
          <w:p>
            <w:pPr/>
          </w:p>
        </w:tc>
        <w:tc>
          <w:tcPr>
            <w:tcW w:w="2310" w:type="dxa"/>
            <w:vMerge/>
          </w:tcPr>
          <w:p>
            <w:pPr/>
          </w:p>
        </w:tc>
        <w:tc>
          <w:tcPr>
            <w:tcW w:w="2310" w:type="dxa"/>
          </w:tcPr>
          <w:p>
            <w:pPr/>
            <w:r>
              <w:rPr>
                <w:lang w:val="zh-CN"/>
              </w:rPr>
              <w:t>2.建议“增设中医中药的药事服务费”</w:t>
            </w:r>
          </w:p>
        </w:tc>
        <w:tc>
          <w:tcPr>
            <w:tcW w:w="2310" w:type="dxa"/>
          </w:tcPr>
          <w:p>
            <w:pPr/>
            <w:r>
              <w:rPr>
                <w:lang w:val="zh-CN"/>
              </w:rPr>
              <w:t>已设立“药事服务费”补偿机制 为促进公立医院收入的合理分配。联合印发《关于开展我市公立医院第三阶段医疗服务价格调整工作的通知》,明确要求各公立医疗机构应根据实际情况，以每人次诊查费标准的5%-10%作为“药事服务费”，在“诊查收入”下设立明细科目进行核算,促进药学（含中药）事业的发展。</w:t>
            </w:r>
            <w:r>
              <w:rPr>
                <w:lang w:val="zh-CN"/>
              </w:rPr>
              <w:br/>
            </w:r>
            <w:r>
              <w:rPr>
                <w:lang w:val="zh-CN"/>
              </w:rPr>
              <w:t>已启动医疗服务价格整体评估及测算工作。目前已完成医疗服务价格整体评估及测算项目招标工作，下一步将根据评估及测算结果对相关项目价格进行调整。</w:t>
            </w:r>
          </w:p>
        </w:tc>
        <w:tc>
          <w:tcPr>
            <w:tcW w:w="2310" w:type="dxa"/>
          </w:tcPr>
          <w:p>
            <w:pPr/>
            <w:r>
              <w:rPr>
                <w:lang w:val="zh-CN"/>
              </w:rPr>
              <w:t>调整医疗服务项目价格向中医服务项目倾斜，将适当提高中医类医疗服务项目价格，有利于各类医疗服务价格的比价关系更趋合理，体现中医医疗服务成本和专业技术价值。</w:t>
            </w:r>
            <w:r>
              <w:rPr>
                <w:lang w:val="zh-CN"/>
              </w:rPr>
              <w:br/>
            </w:r>
          </w:p>
        </w:tc>
        <w:tc>
          <w:tcPr>
            <w:tcW w:w="2310" w:type="dxa"/>
          </w:tcPr>
          <w:p>
            <w:pPr/>
            <w:r>
              <w:rPr>
                <w:lang w:val="zh-CN"/>
              </w:rPr>
              <w:t>推动药事服务费核算</w:t>
            </w:r>
          </w:p>
        </w:tc>
        <w:tc>
          <w:tcPr>
            <w:tcW w:w="2310" w:type="dxa"/>
          </w:tcPr>
          <w:p>
            <w:pPr/>
          </w:p>
        </w:tc>
      </w:tr>
      <w:tr>
        <w:tc>
          <w:tcPr>
            <w:tcW w:w="2310" w:type="dxa"/>
            <w:vMerge/>
          </w:tcPr>
          <w:p>
            <w:pPr/>
          </w:p>
        </w:tc>
        <w:tc>
          <w:tcPr>
            <w:tcW w:w="2310" w:type="dxa"/>
            <w:vMerge/>
          </w:tcPr>
          <w:p>
            <w:pPr/>
          </w:p>
        </w:tc>
        <w:tc>
          <w:tcPr>
            <w:tcW w:w="2310" w:type="dxa"/>
            <w:vMerge/>
          </w:tcPr>
          <w:p>
            <w:pPr/>
          </w:p>
        </w:tc>
        <w:tc>
          <w:tcPr>
            <w:tcW w:w="2310" w:type="dxa"/>
            <w:vMerge/>
          </w:tcPr>
          <w:p>
            <w:pPr/>
          </w:p>
        </w:tc>
        <w:tc>
          <w:tcPr>
            <w:tcW w:w="2310" w:type="dxa"/>
            <w:vMerge/>
          </w:tcPr>
          <w:p>
            <w:pPr/>
          </w:p>
        </w:tc>
        <w:tc>
          <w:tcPr>
            <w:tcW w:w="2310" w:type="dxa"/>
          </w:tcPr>
          <w:p>
            <w:pPr/>
            <w:r>
              <w:rPr>
                <w:lang w:val="zh-CN"/>
              </w:rPr>
              <w:t>3.政府每年予以适当的一次性财政补助，以弥补医院药事服务的成本</w:t>
            </w:r>
          </w:p>
        </w:tc>
        <w:tc>
          <w:tcPr>
            <w:tcW w:w="2310" w:type="dxa"/>
          </w:tcPr>
          <w:p>
            <w:pPr/>
            <w:r>
              <w:rPr>
                <w:lang w:val="zh-CN"/>
              </w:rPr>
              <w:t>2019年，深圳市政府对市中医院2012-2017年中药饮片取消加成后造成的政策性亏损给予了一次性补助（其他区参考市中医院的补助方式，由各区财政予以专项补助），并大幅提高了中医医院的基本医疗补助标准。</w:t>
            </w:r>
          </w:p>
        </w:tc>
        <w:tc>
          <w:tcPr>
            <w:tcW w:w="2310" w:type="dxa"/>
          </w:tcPr>
          <w:p>
            <w:pPr/>
            <w:r>
              <w:rPr>
                <w:lang w:val="zh-CN"/>
              </w:rPr>
              <w:t>建立了对中医医院中药饮片取消加成减收的长效补偿机制。</w:t>
            </w:r>
          </w:p>
        </w:tc>
        <w:tc>
          <w:tcPr>
            <w:tcW w:w="2310" w:type="dxa"/>
          </w:tcPr>
          <w:p>
            <w:pPr/>
            <w:r>
              <w:rPr>
                <w:lang w:val="zh-CN"/>
              </w:rPr>
              <w:t>落实长效补助机制。</w:t>
            </w:r>
          </w:p>
        </w:tc>
        <w:tc>
          <w:tcPr>
            <w:tcW w:w="2310" w:type="dxa"/>
          </w:tcPr>
          <w:p>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664139"/>
    <w:rsid w:val="172D20D6"/>
    <w:rsid w:val="180264EE"/>
    <w:rsid w:val="349E50A3"/>
    <w:rsid w:val="392A61C5"/>
    <w:rsid w:val="4ADF6A2B"/>
    <w:rsid w:val="4B177DEB"/>
    <w:rsid w:val="4BA1709E"/>
    <w:rsid w:val="4C8D0060"/>
    <w:rsid w:val="55544710"/>
    <w:rsid w:val="566775E1"/>
    <w:rsid w:val="593A72C1"/>
    <w:rsid w:val="65125460"/>
    <w:rsid w:val="6C407861"/>
    <w:rsid w:val="762F3E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2019-06-13T02:28:39Z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