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148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567"/>
        <w:gridCol w:w="3969"/>
        <w:gridCol w:w="3544"/>
        <w:gridCol w:w="61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484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bidi="ar"/>
              </w:rPr>
              <w:t>光明医保分局进驻街道行政服务大厅综合窗口业务事项表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具体项目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详情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是否必须窗口办理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医疗项目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门诊现金报销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个账,年度超支,特检、特病，输血，PETCT,CIK,D-CIK,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住院现金报销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参保人特药登记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包括特殊通道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肾衰竭门诊透析请休假申请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否，网上，微信办理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生育项目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职工及未就业配偶一次性定额报销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居民生育费用报销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职工及未就业配偶职工生育费用实报实销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单位申领生育津贴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否，网上办理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其他项目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参保人常驻异地就医备案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常驻异地，就业创业，直通车企业，转诊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否，网上办理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个人账户家庭关联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绑定和解绑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否，自助机，网上，微信，医疗机构办理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个人账户比例自付申请 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新增和取消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否，网上，微信办理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个人绑定机构信息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新增，修改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否，自助机，网上，微信，医疗机构办理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单位绑定机构信息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新增，修改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网上，微信，医疗机构办理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社保卡密码维护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新增、修改和取消</w:t>
            </w: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否，网上，微信办理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出件业务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否，网上，邮寄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B37B3"/>
    <w:rsid w:val="12205B5C"/>
    <w:rsid w:val="4E1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2019-06-26T07:58:00Z</dcterms:created>
  <dc:creator>Oooyzz</dc:creator>
  <cp:lastModifiedBy>Oooyzz</cp:lastModifiedBy>
  <dcterms:modified xsi:type="dcterms:W3CDTF">2019-06-26T08:28:06Z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