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　　深圳市地方补充医疗保险药品目录增补品种</w:t>
      </w:r>
    </w:p>
    <w:tbl>
      <w:tblPr>
        <w:tblW w:w="6690" w:type="dxa"/>
        <w:jc w:val="center"/>
        <w:tblCellSpacing w:w="0" w:type="dxa"/>
        <w:tblInd w:w="82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546"/>
        <w:gridCol w:w="1947"/>
        <w:gridCol w:w="663"/>
        <w:gridCol w:w="353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54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序号 </w:t>
            </w:r>
          </w:p>
        </w:tc>
        <w:tc>
          <w:tcPr>
            <w:tcW w:w="194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药品通用名（商品名） </w:t>
            </w:r>
          </w:p>
        </w:tc>
        <w:tc>
          <w:tcPr>
            <w:tcW w:w="66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剂型 </w:t>
            </w:r>
          </w:p>
        </w:tc>
        <w:tc>
          <w:tcPr>
            <w:tcW w:w="353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备注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4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1 </w:t>
            </w:r>
          </w:p>
        </w:tc>
        <w:tc>
          <w:tcPr>
            <w:tcW w:w="194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注射用曲妥珠单抗（赫赛汀） </w:t>
            </w:r>
          </w:p>
        </w:tc>
        <w:tc>
          <w:tcPr>
            <w:tcW w:w="66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注射剂 </w:t>
            </w:r>
          </w:p>
        </w:tc>
        <w:tc>
          <w:tcPr>
            <w:tcW w:w="353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限用于1、适用于HER2过度表达的转移性乳腺癌：作为单一药物治疗已接受过1个或多个化疗方案的转移性乳腺癌；与紫杉醇或者多西他赛联合，用于未接受化疗的转移性乳腺癌患者。2、适用于接受了手术、含蒽环类抗生素辅助化疗和放疗（如果适用）后的HER2过度表达乳腺癌的辅助治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54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2 </w:t>
            </w:r>
          </w:p>
        </w:tc>
        <w:tc>
          <w:tcPr>
            <w:tcW w:w="194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吉非替尼（易瑞沙） </w:t>
            </w:r>
          </w:p>
        </w:tc>
        <w:tc>
          <w:tcPr>
            <w:tcW w:w="66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片剂 </w:t>
            </w:r>
          </w:p>
        </w:tc>
        <w:tc>
          <w:tcPr>
            <w:tcW w:w="353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限用于1．表皮生长因子受体（EGFR）基因具有敏感突变的局部晚期或转移性非小细胞肺癌（NSCLC）患者的一线治疗；2．治疗既往接受过化学治疗的局部晚期或转移性非小细胞肺癌（NSCLC）。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54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3 </w:t>
            </w:r>
          </w:p>
        </w:tc>
        <w:tc>
          <w:tcPr>
            <w:tcW w:w="194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厄洛替尼（特罗凯） </w:t>
            </w:r>
          </w:p>
        </w:tc>
        <w:tc>
          <w:tcPr>
            <w:tcW w:w="66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片剂 </w:t>
            </w:r>
          </w:p>
        </w:tc>
        <w:tc>
          <w:tcPr>
            <w:tcW w:w="353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限用于1．既往接受过至少一个化疗方案失败的局部晚期或转移的非小细胞肺癌（NSCLC）；2．经4个周期以铂类为基础的一线化疗后疾病稳定的局部晚期或转移的非小细胞肺癌患者的维持治疗。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4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4 </w:t>
            </w:r>
          </w:p>
        </w:tc>
        <w:tc>
          <w:tcPr>
            <w:tcW w:w="194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尼洛替尼（达希纳） </w:t>
            </w:r>
          </w:p>
        </w:tc>
        <w:tc>
          <w:tcPr>
            <w:tcW w:w="66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胶囊 </w:t>
            </w:r>
          </w:p>
        </w:tc>
        <w:tc>
          <w:tcPr>
            <w:tcW w:w="353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限用于对既往治疗（包括甲磺酸伊马替尼）耐药或不耐受的费城染色体阳性的慢性髓性白血病（PH+CML）慢性期或加速期成人患者。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54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5 </w:t>
            </w:r>
          </w:p>
        </w:tc>
        <w:tc>
          <w:tcPr>
            <w:tcW w:w="194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达沙替尼（施达赛） </w:t>
            </w:r>
          </w:p>
        </w:tc>
        <w:tc>
          <w:tcPr>
            <w:tcW w:w="66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片剂 </w:t>
            </w:r>
          </w:p>
        </w:tc>
        <w:tc>
          <w:tcPr>
            <w:tcW w:w="353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color w:val="1D1D1D"/>
                <w:sz w:val="24"/>
                <w:szCs w:val="24"/>
                <w:bdr w:val="none" w:color="auto" w:sz="0" w:space="0"/>
              </w:rPr>
              <w:t>　　限用于治疗对甲磺酸伊马替尼耐药或不耐受的费城染色体阳性（ph+）慢性髓细胞白血病（CML）慢性期、加速期和急变期（急粒变和急淋变）成年患者。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C1C2D"/>
    <w:rsid w:val="1C0C1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2019-07-04T06:00:00Z</dcterms:created>
  <dc:creator>Oooyzz</dc:creator>
  <cp:lastModifiedBy>Oooyzz</cp:lastModifiedBy>
  <dcterms:modified xsi:type="dcterms:W3CDTF">2019-07-04T06:01:42Z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